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Paper reorganisation and reproduction plan</w:t>
      </w:r>
    </w:p>
    <w:p>
      <w:r>
        <w:t>This working plan maps the advisor review to independently computed project results. It is a reconstruction plan, not evidence that all inherited scientific interpretations are established.</w:t>
      </w:r>
    </w:p>
    <w:p>
      <w:pPr>
        <w:pStyle w:val="Heading1"/>
        <w:keepNext/>
      </w:pPr>
      <w:r>
        <w:t>Data and provenance</w:t>
      </w:r>
    </w:p>
    <w:p>
      <w:r>
        <w:t>Use review_package/data/combined_E0_final.csv and combined_R0c_final.csv. Retain exposure records, including zero affected customers. For final recovery regressions exclude zero-customer records and report this change explicitly. Keep incident-conditional analyses separate from district-day occurrence probabilities.</w:t>
      </w:r>
    </w:p>
    <w:p>
      <w:pPr>
        <w:pStyle w:val="Heading1"/>
        <w:keepNext/>
      </w:pPr>
      <w:r>
        <w:t>Extended paper</w:t>
      </w:r>
    </w:p>
    <w:p>
      <w:r>
        <w:t>Organise the extended paper as Introduction, Data, Methods, Results, Discussion and Supplementary Information. Methods cover outcome construction, the 12-specification ladder, profile knot search, district bootstrap, spatial and temporal validation, two-way clustered inference, and district-day fragility. Results present pooled response shapes, weather-attributed comparisons, variance decomposition, district-day occurrence and temporal checks.</w:t>
      </w:r>
    </w:p>
    <w:p>
      <w:pPr>
        <w:pStyle w:val="Heading1"/>
        <w:keepNext/>
      </w:pPr>
      <w:r>
        <w:t>Short paper</w:t>
      </w:r>
    </w:p>
    <w:p>
      <w:r>
        <w:t>Focus the Nature Communications extract on the operational district-day fragility estimate, supported by the estimated exposure response and recovery contrast. Move model-search details, ordinal and negative-binomial experiments, calibration panels and full coefficient tables to supplementary material.</w:t>
      </w:r>
    </w:p>
    <w:p>
      <w:pPr>
        <w:pStyle w:val="Heading1"/>
        <w:keepNext/>
      </w:pPr>
      <w:r>
        <w:t>Figures and tables</w:t>
      </w:r>
    </w:p>
    <w:p>
      <w:r>
        <w:t>Reuse the study map from our own docs/Draft.docx. Generate fig1 through fig14 and figP1/figP2 from this run. Populate final-model, weather-only, predicted-versus-observed and fragility tables from computed CSV/JSON files. The numbered series intentionally has no fig7, as in the supplied analysis code.</w:t>
      </w:r>
    </w:p>
    <w:p>
      <w:pPr>
        <w:pStyle w:val="Heading1"/>
        <w:keepNext/>
      </w:pPr>
      <w:r>
        <w:t>Interpretation checks</w:t>
      </w:r>
    </w:p>
    <w:p>
      <w:r>
        <w:t>Describe the low-wind slope using its estimated sign and uncertainty, rather than assuming it is flat. The E0 plateau is a constraint on the main gust effect at mean pressure; the pressure interaction remains. A non-rejected restriction is not proof of a physical law. The fitted background parameter is not an observed technical-fault rate. Interpolated weather on days without events remains a proxy. Avoid calling the fixed-specification temporal split independent confirmation of knot selection.</w:t>
      </w:r>
    </w:p>
    <w:p>
      <w:pPr>
        <w:pStyle w:val="Heading1"/>
        <w:keepNext/>
      </w:pPr>
      <w:r>
        <w:t>Outstanding manuscript work</w:t>
      </w:r>
    </w:p>
    <w:p>
      <w:r>
        <w:t>The inherited long and short drafts retain substantial hand-entered narrative. Before submission, update all narrative numbers from COMPUTED_RESULTS.md and the source CSV/JSON tables; review causal explanations, novelty claims and references. Exact sentence reproduction is distinct from scientific verification.</w:t>
      </w:r>
    </w:p>
    <w:p>
      <w:pPr>
        <w:pStyle w:val="Heading1"/>
        <w:keepNext/>
      </w:pPr>
      <w:r>
        <w:t>Code and output scope</w:t>
      </w:r>
    </w:p>
    <w:p>
      <w:r>
        <w:t>main_new.py controls analysis_new/. Each run stores its purpose, settings, status, source hashes and input hashes in results/new/&lt;timestamp&gt;/run.json. Results are in that run’s results/model_selection, final_models, weather_only, figures and paper directories. See docs/NEW_ANALYSIS_GUIDE.md and LOG.md for the dated implementation history.</w:t>
      </w:r>
    </w:p>
    <w:sectPr w:rsidR="00FC693F" w:rsidRPr="0006063C" w:rsidSect="00034616">
      <w:pgSz w:w="12240" w:h="15840"/>
      <w:pgMar w:top="1440" w:right="936" w:bottom="144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