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code reads the outputs from the previous annual cumulative MHWs estimation for each 0.25</w:t>
      </w:r>
      <w:r w:rsidDel="00000000" w:rsidR="00000000" w:rsidRPr="00000000">
        <w:rPr>
          <w:color w:val="0d0d0d"/>
          <w:highlight w:val="white"/>
          <w:rtl w:val="0"/>
        </w:rPr>
        <w:t xml:space="preserve">°</w:t>
      </w:r>
      <w:r w:rsidDel="00000000" w:rsidR="00000000" w:rsidRPr="00000000">
        <w:rPr>
          <w:rtl w:val="0"/>
        </w:rPr>
        <w:t xml:space="preserve"> grid cell with floating kelp forests. These outputs include historical cumulative MHWs (1983-2020) and projected (2021-2100) for the climate scenarios (SSP1-2.6, SSP2-4.5, SSP5-8.5).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The code estimates the mean annual cumulative MHWs for each time frame for each pixel with kelp.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Contemporary (2001-2020), Short term (2021-2040), Mid term (2041-2060),  and  Long term (2081-2100)  for each climate scenario (SSP1-2.6, SSP2-4.5, SSP5-8.5).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Mean for each ecoregion by conducting a spatial overlay with the Spalding ecoregions (32 with kelp)  shapefile and the kelp pixels.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