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8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GROWTHWORKS SYSTEMS  |  WEBSITE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6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44"/>
          <w:szCs w:val="44"/>
          <w:rtl w:val="0"/>
        </w:rPr>
        <w:t xml:space="preserve">Homepage Credibility Bridge</w:t>
        <w:br w:type="textWrapping"/>
        <w:t xml:space="preserve">Section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66615a"/>
          <w:sz w:val="22"/>
          <w:szCs w:val="22"/>
          <w:rtl w:val="0"/>
        </w:rPr>
        <w:t xml:space="preserve">Trust micro-bridge specification for Section 02 of the revised homepage</w:t>
      </w: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Layout w:type="fixed"/>
        <w:tblLook w:val="0400"/>
      </w:tblPr>
      <w:tblGrid>
        <w:gridCol w:w="1440"/>
        <w:gridCol w:w="8064"/>
        <w:tblGridChange w:id="0">
          <w:tblGrid>
            <w:gridCol w:w="1440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GrowthWorks Systems - Website Enhancement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02 - Credibility 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Narrative 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Desired Outcome - trust micro-bridge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Copy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35 visible words maximum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PROPOSED FOR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41617"/>
                <w:sz w:val="18"/>
                <w:szCs w:val="18"/>
                <w:rtl w:val="0"/>
              </w:rPr>
              <w:t xml:space="preserve">CLAYTON’S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before="2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Governing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30"/>
          <w:szCs w:val="30"/>
          <w:rtl w:val="0"/>
        </w:rPr>
        <w:t xml:space="preserve">Establish trust quickly. Do not turn the bridge into a second founder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1. RECOMMENDED CREDIBILITY BRIDGE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60" w:before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34"/>
          <w:szCs w:val="34"/>
          <w:rtl w:val="0"/>
        </w:rPr>
        <w:t xml:space="preserve">A compact reason to keep scrolling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This version gives the visitor three reasons to trust the approach without advancing the homepage into the formal Credibility beat or repeating the founder biography.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PROPOSED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38"/>
          <w:szCs w:val="38"/>
          <w:rtl w:val="0"/>
        </w:rPr>
        <w:t xml:space="preserve">Experience first. Prescription second.</w:t>
      </w:r>
      <w:r w:rsidDel="00000000" w:rsidR="00000000" w:rsidRPr="00000000">
        <w:rPr>
          <w:rtl w:val="0"/>
        </w:rPr>
      </w:r>
    </w:p>
    <w:tbl>
      <w:tblPr>
        <w:tblStyle w:val="Table2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150.0" w:type="dxa"/>
              <w:bottom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b8863b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24"/>
                <w:szCs w:val="24"/>
                <w:rtl w:val="0"/>
              </w:rPr>
              <w:t xml:space="preserve">30+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6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Founder Clayton Tidwell brings 30+ years of systems-integration and operating experience.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150.0" w:type="dxa"/>
              <w:bottom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b8863b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24"/>
                <w:szCs w:val="24"/>
                <w:rtl w:val="0"/>
              </w:rPr>
              <w:t xml:space="preserve">Diagnose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6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Diagnose before prescribing.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150.0" w:type="dxa"/>
              <w:bottom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b8863b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24"/>
                <w:szCs w:val="24"/>
                <w:rtl w:val="0"/>
              </w:rPr>
              <w:t xml:space="preserve">Measure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6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Measure business outcomes, not activity.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80" w:before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66615a"/>
          <w:sz w:val="18"/>
          <w:szCs w:val="18"/>
          <w:rtl w:val="0"/>
        </w:rPr>
        <w:t xml:space="preserve">Recommended implementation: one slim three-proof strip, no CTA, no founder photo, and no additional paragraph beneath the strip.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160" w:before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34"/>
          <w:szCs w:val="34"/>
          <w:rtl w:val="0"/>
        </w:rPr>
        <w:t xml:space="preserve">Visible-copy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Approximately 26 visible words, depending on whether the section label is counted in implementation. This remains comfortably below the 35-word ceiling.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8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2. ALIGNMENT AND CRITIQUE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160" w:before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34"/>
          <w:szCs w:val="34"/>
          <w:rtl w:val="0"/>
        </w:rPr>
        <w:t xml:space="preserve">Why this version is the strongest fit</w:t>
      </w:r>
      <w:r w:rsidDel="00000000" w:rsidR="00000000" w:rsidRPr="00000000">
        <w:rPr>
          <w:rtl w:val="0"/>
        </w:rPr>
      </w:r>
    </w:p>
    <w:tbl>
      <w:tblPr>
        <w:tblStyle w:val="Table3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84161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84161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84161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Concise reasons to continue scrolling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Three proof points can be scanned quickly without interrupting the narrative.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Founder experience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Names Clayton once and references 30+ years without repeating the full credential 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Methodology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Uses the canonical “Diagnose before prescribing” principle without pulling the Section 05 four-step process forward.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Business-outcome 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“Measure business outcomes, not activity” reinforces GWS discipline without adding service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Canonical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Full founder story remains reserved for Section 10 and the About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Word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Comfortably below the 35-word ceiling, leaving no reason for copy creep.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Narrative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Trust is established, then the visitor can move directly into the four problem-recognition cards.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1"/>
        <w:spacing w:after="160" w:before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34"/>
          <w:szCs w:val="34"/>
          <w:rtl w:val="0"/>
        </w:rPr>
        <w:t xml:space="preserve">Three-pass refinement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76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Pass 1 removed longer biography language and protected Section 10 as the formal founder-credibility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76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Pass 2 replaced broad methodology language with the established “Diagnose before prescribing” principle so Section 05 can still own the four-step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76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Pass 3 tightened the proof language, preserved the operating and outcome tone, and removed any CTA or extra explanation that would compete with Section 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Narrative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25"/>
          <w:szCs w:val="25"/>
          <w:rtl w:val="0"/>
        </w:rPr>
        <w:t xml:space="preserve">Hero: “more value from existing opportunity”  →  Credibility Bridge: “GWS has the experience and discipline to diagnose it”  →  Problem Recognition: “here is where value is being lost.”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8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3. COPY AND IMPLEMENTATION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160" w:before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34"/>
          <w:szCs w:val="34"/>
          <w:rtl w:val="0"/>
        </w:rPr>
        <w:t xml:space="preserve">Keep the bridge subordinate and disciplined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76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Use no more than three proof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76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Do not add a second CTA. The hero already owns the primary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76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Do not introduce a founder portrait or biography here. Section 10 owns the formal founder authority block; About owns full depth.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Do not repeat the full U.S. Marine Corps, enterprise operations, systems-integration, and founder transition credential stack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76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Use “Diagnose before prescribing” as the methodology-level reference. Do not introduce Diagnose / Design / Implement / Optimize until Section 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76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Do not introduce Revenue Infrastructure, the nine-domain framework, AI Visibility education, or solution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76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Keep the strip visually lighter than the hero and Section 03. Its job is confidence, not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76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If a proof point grows beyond one short line, move the detail to the appropriate canonical section rather than increasing the bridge.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Status for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2"/>
          <w:szCs w:val="22"/>
          <w:rtl w:val="0"/>
        </w:rPr>
        <w:t xml:space="preserve">PROPOSED FOR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41617"/>
          <w:rtl w:val="0"/>
        </w:rPr>
        <w:t xml:space="preserve">CLAYTON’S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2"/>
          <w:szCs w:val="22"/>
          <w:rtl w:val="0"/>
        </w:rPr>
        <w:t xml:space="preserve">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66615a"/>
          <w:sz w:val="19"/>
          <w:szCs w:val="19"/>
          <w:rtl w:val="0"/>
        </w:rPr>
        <w:t xml:space="preserve">Once approved, this proof strip becomes the Section 02 copy source for wireframing and Manus implementation.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64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15a"/>
        <w:sz w:val="16"/>
        <w:szCs w:val="16"/>
        <w:u w:val="none"/>
        <w:shd w:fill="auto" w:val="clear"/>
        <w:vertAlign w:val="baseline"/>
        <w:rtl w:val="0"/>
      </w:rPr>
      <w:t xml:space="preserve">GROWTHWORKS SYSTEMS  |  WEBSITE ENHANCEMENT  |  CREDIBILITY BRIDGE COPY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