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Calibri" w:cs="Calibri" w:eastAsia="Calibri" w:hAnsi="Calibri"/>
        </w:rPr>
      </w:pPr>
      <w:r w:rsidDel="00000000" w:rsidR="00000000" w:rsidRPr="00000000">
        <w:rPr>
          <w:rFonts w:ascii="Calibri" w:cs="Calibri" w:eastAsia="Calibri" w:hAnsi="Calibri"/>
          <w:b w:val="1"/>
          <w:bCs w:val="1"/>
          <w:color w:val="841617"/>
          <w:sz w:val="20"/>
          <w:szCs w:val="20"/>
          <w:rtl w:val="0"/>
        </w:rPr>
        <w:t xml:space="preserve">GROWTHWORKS SYSTEMS</w:t>
      </w:r>
      <w:r w:rsidDel="00000000" w:rsidR="00000000" w:rsidRPr="00000000">
        <w:rPr>
          <w:rtl w:val="0"/>
        </w:rPr>
      </w:r>
    </w:p>
    <w:p w:rsidR="00000000" w:rsidDel="00000000" w:rsidP="00000000" w:rsidRDefault="00000000" w:rsidRPr="00000000" w14:paraId="00000002">
      <w:pPr>
        <w:spacing w:after="160" w:lineRule="auto"/>
        <w:rPr>
          <w:rFonts w:ascii="Calibri" w:cs="Calibri" w:eastAsia="Calibri" w:hAnsi="Calibri"/>
        </w:rPr>
      </w:pPr>
      <w:r w:rsidDel="00000000" w:rsidR="00000000" w:rsidRPr="00000000">
        <w:rPr>
          <w:rFonts w:ascii="Calibri" w:cs="Calibri" w:eastAsia="Calibri" w:hAnsi="Calibri"/>
          <w:b w:val="1"/>
          <w:bCs w:val="1"/>
          <w:color w:val="841617"/>
          <w:sz w:val="60"/>
          <w:szCs w:val="60"/>
          <w:rtl w:val="0"/>
        </w:rPr>
        <w:t xml:space="preserve">Homepage Hero</w:t>
        <w:br w:type="textWrapping"/>
        <w:t xml:space="preserve">Headline and Supporting Copy</w:t>
      </w:r>
      <w:r w:rsidDel="00000000" w:rsidR="00000000" w:rsidRPr="00000000">
        <w:rPr>
          <w:rtl w:val="0"/>
        </w:rPr>
      </w:r>
    </w:p>
    <w:p w:rsidR="00000000" w:rsidDel="00000000" w:rsidP="00000000" w:rsidRDefault="00000000" w:rsidRPr="00000000" w14:paraId="00000003">
      <w:pPr>
        <w:spacing w:after="440" w:lineRule="auto"/>
        <w:rPr>
          <w:rFonts w:ascii="Calibri" w:cs="Calibri" w:eastAsia="Calibri" w:hAnsi="Calibri"/>
        </w:rPr>
      </w:pPr>
      <w:r w:rsidDel="00000000" w:rsidR="00000000" w:rsidRPr="00000000">
        <w:rPr>
          <w:rFonts w:ascii="Calibri" w:cs="Calibri" w:eastAsia="Calibri" w:hAnsi="Calibri"/>
          <w:color w:val="6b665f"/>
          <w:sz w:val="24"/>
          <w:szCs w:val="24"/>
          <w:rtl w:val="0"/>
        </w:rPr>
        <w:t xml:space="preserve">Outcome-led copy specification for the opening screen</w:t>
      </w:r>
      <w:r w:rsidDel="00000000" w:rsidR="00000000" w:rsidRPr="00000000">
        <w:rPr>
          <w:rtl w:val="0"/>
        </w:rPr>
      </w:r>
    </w:p>
    <w:p w:rsidR="00000000" w:rsidDel="00000000" w:rsidP="00000000" w:rsidRDefault="00000000" w:rsidRPr="00000000" w14:paraId="00000004">
      <w:pPr>
        <w:pBdr>
          <w:bottom w:color="b8863b" w:space="1" w:sz="16" w:val="single"/>
        </w:pBd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400" w:lineRule="auto"/>
        <w:rPr>
          <w:rFonts w:ascii="Calibri" w:cs="Calibri" w:eastAsia="Calibri" w:hAnsi="Calibri"/>
          <w:color w:val="000000"/>
          <w:sz w:val="22"/>
          <w:szCs w:val="22"/>
        </w:rPr>
      </w:pPr>
      <w:r w:rsidDel="00000000" w:rsidR="00000000" w:rsidRPr="00000000">
        <w:rPr>
          <w:rtl w:val="0"/>
        </w:rPr>
      </w:r>
    </w:p>
    <w:tbl>
      <w:tblPr>
        <w:tblStyle w:val="Table1"/>
        <w:tblW w:w="10170.0" w:type="dxa"/>
        <w:jc w:val="left"/>
        <w:tblInd w:w="-115.0" w:type="dxa"/>
        <w:tblLayout w:type="fixed"/>
        <w:tblLook w:val="0400"/>
      </w:tblPr>
      <w:tblGrid>
        <w:gridCol w:w="1905"/>
        <w:gridCol w:w="8265"/>
        <w:tblGridChange w:id="0">
          <w:tblGrid>
            <w:gridCol w:w="1905"/>
            <w:gridCol w:w="8265"/>
          </w:tblGrid>
        </w:tblGridChange>
      </w:tblGrid>
      <w:tr>
        <w:trPr>
          <w:cantSplit w:val="0"/>
          <w:tblHeader w:val="0"/>
        </w:trPr>
        <w:tc>
          <w:tcPr>
            <w:tcBorders>
              <w:top w:color="d8d1c4" w:space="0" w:sz="8" w:val="single"/>
              <w:left w:color="d8d1c4" w:space="0" w:sz="8" w:val="single"/>
              <w:bottom w:color="d8d1c4" w:space="0" w:sz="8" w:val="single"/>
              <w:right w:color="d8d1c4" w:space="0" w:sz="8" w:val="single"/>
            </w:tcBorders>
            <w:shd w:fill="efe9dd" w:val="clear"/>
            <w:tcMar>
              <w:top w:w="120.0" w:type="dxa"/>
              <w:bottom w:w="120.0" w:type="dxa"/>
            </w:tcMar>
            <w:vAlign w:val="center"/>
          </w:tcPr>
          <w:p w:rsidR="00000000" w:rsidDel="00000000" w:rsidP="00000000" w:rsidRDefault="00000000" w:rsidRPr="00000000" w14:paraId="00000006">
            <w:pPr>
              <w:rPr>
                <w:rFonts w:ascii="Calibri" w:cs="Calibri" w:eastAsia="Calibri" w:hAnsi="Calibri"/>
                <w:color w:val="000000"/>
                <w:sz w:val="22"/>
                <w:szCs w:val="22"/>
              </w:rPr>
            </w:pPr>
            <w:r w:rsidDel="00000000" w:rsidR="00000000" w:rsidRPr="00000000">
              <w:rPr>
                <w:rFonts w:ascii="Calibri" w:cs="Calibri" w:eastAsia="Calibri" w:hAnsi="Calibri"/>
                <w:b w:val="1"/>
                <w:bCs w:val="1"/>
                <w:color w:val="841617"/>
                <w:sz w:val="18"/>
                <w:szCs w:val="18"/>
                <w:rtl w:val="0"/>
              </w:rPr>
              <w:t xml:space="preserve">Prepared for</w:t>
            </w:r>
            <w:r w:rsidDel="00000000" w:rsidR="00000000" w:rsidRPr="00000000">
              <w:rPr>
                <w:rtl w:val="0"/>
              </w:rPr>
            </w:r>
          </w:p>
        </w:tc>
        <w:tc>
          <w:tcPr>
            <w:tcBorders>
              <w:top w:color="d8d1c4" w:space="0" w:sz="8" w:val="single"/>
              <w:left w:color="d8d1c4" w:space="0" w:sz="8" w:val="single"/>
              <w:bottom w:color="d8d1c4" w:space="0" w:sz="8" w:val="single"/>
              <w:right w:color="d8d1c4" w:space="0" w:sz="8" w:val="single"/>
            </w:tcBorders>
            <w:shd w:fill="ffffff" w:val="clear"/>
            <w:tcMar>
              <w:top w:w="120.0" w:type="dxa"/>
              <w:bottom w:w="120.0" w:type="dxa"/>
            </w:tcMar>
            <w:vAlign w:val="center"/>
          </w:tcPr>
          <w:p w:rsidR="00000000" w:rsidDel="00000000" w:rsidP="00000000" w:rsidRDefault="00000000" w:rsidRPr="00000000" w14:paraId="00000007">
            <w:pPr>
              <w:rPr>
                <w:rFonts w:ascii="Calibri" w:cs="Calibri" w:eastAsia="Calibri" w:hAnsi="Calibri"/>
                <w:color w:val="000000"/>
                <w:sz w:val="22"/>
                <w:szCs w:val="22"/>
              </w:rPr>
            </w:pPr>
            <w:r w:rsidDel="00000000" w:rsidR="00000000" w:rsidRPr="00000000">
              <w:rPr>
                <w:rFonts w:ascii="Calibri" w:cs="Calibri" w:eastAsia="Calibri" w:hAnsi="Calibri"/>
                <w:sz w:val="20"/>
                <w:szCs w:val="20"/>
                <w:rtl w:val="0"/>
              </w:rPr>
              <w:t xml:space="preserve">GrowthWorks Systems - Website Enhancement Project</w:t>
            </w:r>
            <w:r w:rsidDel="00000000" w:rsidR="00000000" w:rsidRPr="00000000">
              <w:rPr>
                <w:rtl w:val="0"/>
              </w:rPr>
            </w:r>
          </w:p>
        </w:tc>
      </w:tr>
      <w:tr>
        <w:trPr>
          <w:cantSplit w:val="0"/>
          <w:tblHeader w:val="0"/>
        </w:trPr>
        <w:tc>
          <w:tcPr>
            <w:tcBorders>
              <w:top w:color="d8d1c4" w:space="0" w:sz="8" w:val="single"/>
              <w:left w:color="d8d1c4" w:space="0" w:sz="8" w:val="single"/>
              <w:bottom w:color="d8d1c4" w:space="0" w:sz="8" w:val="single"/>
              <w:right w:color="d8d1c4" w:space="0" w:sz="8" w:val="single"/>
            </w:tcBorders>
            <w:shd w:fill="efe9dd" w:val="clear"/>
            <w:tcMar>
              <w:top w:w="120.0" w:type="dxa"/>
              <w:bottom w:w="120.0" w:type="dxa"/>
            </w:tcMar>
            <w:vAlign w:val="center"/>
          </w:tcPr>
          <w:p w:rsidR="00000000" w:rsidDel="00000000" w:rsidP="00000000" w:rsidRDefault="00000000" w:rsidRPr="00000000" w14:paraId="00000008">
            <w:pPr>
              <w:rPr>
                <w:rFonts w:ascii="Calibri" w:cs="Calibri" w:eastAsia="Calibri" w:hAnsi="Calibri"/>
                <w:color w:val="000000"/>
                <w:sz w:val="22"/>
                <w:szCs w:val="22"/>
              </w:rPr>
            </w:pPr>
            <w:r w:rsidDel="00000000" w:rsidR="00000000" w:rsidRPr="00000000">
              <w:rPr>
                <w:rFonts w:ascii="Calibri" w:cs="Calibri" w:eastAsia="Calibri" w:hAnsi="Calibri"/>
                <w:b w:val="1"/>
                <w:bCs w:val="1"/>
                <w:color w:val="841617"/>
                <w:sz w:val="18"/>
                <w:szCs w:val="18"/>
                <w:rtl w:val="0"/>
              </w:rPr>
              <w:t xml:space="preserve">Section</w:t>
            </w:r>
            <w:r w:rsidDel="00000000" w:rsidR="00000000" w:rsidRPr="00000000">
              <w:rPr>
                <w:rtl w:val="0"/>
              </w:rPr>
            </w:r>
          </w:p>
        </w:tc>
        <w:tc>
          <w:tcPr>
            <w:tcBorders>
              <w:top w:color="d8d1c4" w:space="0" w:sz="8" w:val="single"/>
              <w:left w:color="d8d1c4" w:space="0" w:sz="8" w:val="single"/>
              <w:bottom w:color="d8d1c4" w:space="0" w:sz="8" w:val="single"/>
              <w:right w:color="d8d1c4" w:space="0" w:sz="8" w:val="single"/>
            </w:tcBorders>
            <w:shd w:fill="ffffff" w:val="clear"/>
            <w:tcMar>
              <w:top w:w="120.0" w:type="dxa"/>
              <w:bottom w:w="120.0" w:type="dxa"/>
            </w:tcMar>
            <w:vAlign w:val="center"/>
          </w:tcPr>
          <w:p w:rsidR="00000000" w:rsidDel="00000000" w:rsidP="00000000" w:rsidRDefault="00000000" w:rsidRPr="00000000" w14:paraId="00000009">
            <w:pPr>
              <w:rPr>
                <w:rFonts w:ascii="Calibri" w:cs="Calibri" w:eastAsia="Calibri" w:hAnsi="Calibri"/>
                <w:color w:val="000000"/>
                <w:sz w:val="22"/>
                <w:szCs w:val="22"/>
              </w:rPr>
            </w:pPr>
            <w:r w:rsidDel="00000000" w:rsidR="00000000" w:rsidRPr="00000000">
              <w:rPr>
                <w:rFonts w:ascii="Calibri" w:cs="Calibri" w:eastAsia="Calibri" w:hAnsi="Calibri"/>
                <w:color w:val="6b665f"/>
                <w:sz w:val="19"/>
                <w:szCs w:val="19"/>
                <w:rtl w:val="0"/>
              </w:rPr>
              <w:t xml:space="preserve">01 - Outcome-Led Hero</w:t>
            </w:r>
            <w:r w:rsidDel="00000000" w:rsidR="00000000" w:rsidRPr="00000000">
              <w:rPr>
                <w:rtl w:val="0"/>
              </w:rPr>
            </w:r>
          </w:p>
        </w:tc>
      </w:tr>
      <w:tr>
        <w:trPr>
          <w:cantSplit w:val="0"/>
          <w:tblHeader w:val="0"/>
        </w:trPr>
        <w:tc>
          <w:tcPr>
            <w:tcBorders>
              <w:top w:color="d8d1c4" w:space="0" w:sz="8" w:val="single"/>
              <w:left w:color="d8d1c4" w:space="0" w:sz="8" w:val="single"/>
              <w:bottom w:color="d8d1c4" w:space="0" w:sz="8" w:val="single"/>
              <w:right w:color="d8d1c4" w:space="0" w:sz="8" w:val="single"/>
            </w:tcBorders>
            <w:shd w:fill="efe9dd" w:val="clear"/>
            <w:tcMar>
              <w:top w:w="120.0" w:type="dxa"/>
              <w:bottom w:w="120.0" w:type="dxa"/>
            </w:tcMar>
            <w:vAlign w:val="center"/>
          </w:tcPr>
          <w:p w:rsidR="00000000" w:rsidDel="00000000" w:rsidP="00000000" w:rsidRDefault="00000000" w:rsidRPr="00000000" w14:paraId="0000000A">
            <w:pPr>
              <w:rPr>
                <w:rFonts w:ascii="Calibri" w:cs="Calibri" w:eastAsia="Calibri" w:hAnsi="Calibri"/>
                <w:color w:val="000000"/>
                <w:sz w:val="22"/>
                <w:szCs w:val="22"/>
              </w:rPr>
            </w:pPr>
            <w:r w:rsidDel="00000000" w:rsidR="00000000" w:rsidRPr="00000000">
              <w:rPr>
                <w:rFonts w:ascii="Calibri" w:cs="Calibri" w:eastAsia="Calibri" w:hAnsi="Calibri"/>
                <w:b w:val="1"/>
                <w:bCs w:val="1"/>
                <w:color w:val="841617"/>
                <w:sz w:val="18"/>
                <w:szCs w:val="18"/>
                <w:rtl w:val="0"/>
              </w:rPr>
              <w:t xml:space="preserve">Narrative beat</w:t>
            </w:r>
            <w:r w:rsidDel="00000000" w:rsidR="00000000" w:rsidRPr="00000000">
              <w:rPr>
                <w:rtl w:val="0"/>
              </w:rPr>
            </w:r>
          </w:p>
        </w:tc>
        <w:tc>
          <w:tcPr>
            <w:tcBorders>
              <w:top w:color="d8d1c4" w:space="0" w:sz="8" w:val="single"/>
              <w:left w:color="d8d1c4" w:space="0" w:sz="8" w:val="single"/>
              <w:bottom w:color="d8d1c4" w:space="0" w:sz="8" w:val="single"/>
              <w:right w:color="d8d1c4" w:space="0" w:sz="8" w:val="single"/>
            </w:tcBorders>
            <w:shd w:fill="ffffff" w:val="clear"/>
            <w:tcMar>
              <w:top w:w="120.0" w:type="dxa"/>
              <w:bottom w:w="120.0" w:type="dxa"/>
            </w:tcMar>
            <w:vAlign w:val="center"/>
          </w:tcPr>
          <w:p w:rsidR="00000000" w:rsidDel="00000000" w:rsidP="00000000" w:rsidRDefault="00000000" w:rsidRPr="00000000" w14:paraId="0000000B">
            <w:pPr>
              <w:rPr>
                <w:rFonts w:ascii="Calibri" w:cs="Calibri" w:eastAsia="Calibri" w:hAnsi="Calibri"/>
                <w:color w:val="000000"/>
                <w:sz w:val="22"/>
                <w:szCs w:val="22"/>
              </w:rPr>
            </w:pPr>
            <w:r w:rsidDel="00000000" w:rsidR="00000000" w:rsidRPr="00000000">
              <w:rPr>
                <w:rFonts w:ascii="Calibri" w:cs="Calibri" w:eastAsia="Calibri" w:hAnsi="Calibri"/>
                <w:color w:val="6b665f"/>
                <w:sz w:val="19"/>
                <w:szCs w:val="19"/>
                <w:rtl w:val="0"/>
              </w:rPr>
              <w:t xml:space="preserve">Desired Outcome</w:t>
            </w:r>
            <w:r w:rsidDel="00000000" w:rsidR="00000000" w:rsidRPr="00000000">
              <w:rPr>
                <w:rtl w:val="0"/>
              </w:rPr>
            </w:r>
          </w:p>
        </w:tc>
      </w:tr>
      <w:tr>
        <w:trPr>
          <w:cantSplit w:val="0"/>
          <w:tblHeader w:val="0"/>
        </w:trPr>
        <w:tc>
          <w:tcPr>
            <w:tcBorders>
              <w:top w:color="d8d1c4" w:space="0" w:sz="8" w:val="single"/>
              <w:left w:color="d8d1c4" w:space="0" w:sz="8" w:val="single"/>
              <w:bottom w:color="d8d1c4" w:space="0" w:sz="8" w:val="single"/>
              <w:right w:color="d8d1c4" w:space="0" w:sz="8" w:val="single"/>
            </w:tcBorders>
            <w:shd w:fill="efe9dd" w:val="clear"/>
            <w:tcMar>
              <w:top w:w="120.0" w:type="dxa"/>
              <w:bottom w:w="120.0" w:type="dxa"/>
            </w:tcMar>
            <w:vAlign w:val="center"/>
          </w:tcPr>
          <w:p w:rsidR="00000000" w:rsidDel="00000000" w:rsidP="00000000" w:rsidRDefault="00000000" w:rsidRPr="00000000" w14:paraId="0000000C">
            <w:pPr>
              <w:rPr>
                <w:rFonts w:ascii="Calibri" w:cs="Calibri" w:eastAsia="Calibri" w:hAnsi="Calibri"/>
                <w:color w:val="000000"/>
                <w:sz w:val="22"/>
                <w:szCs w:val="22"/>
              </w:rPr>
            </w:pPr>
            <w:r w:rsidDel="00000000" w:rsidR="00000000" w:rsidRPr="00000000">
              <w:rPr>
                <w:rFonts w:ascii="Calibri" w:cs="Calibri" w:eastAsia="Calibri" w:hAnsi="Calibri"/>
                <w:b w:val="1"/>
                <w:bCs w:val="1"/>
                <w:color w:val="841617"/>
                <w:sz w:val="18"/>
                <w:szCs w:val="18"/>
                <w:rtl w:val="0"/>
              </w:rPr>
              <w:t xml:space="preserve">Copy ceiling</w:t>
            </w:r>
            <w:r w:rsidDel="00000000" w:rsidR="00000000" w:rsidRPr="00000000">
              <w:rPr>
                <w:rtl w:val="0"/>
              </w:rPr>
            </w:r>
          </w:p>
        </w:tc>
        <w:tc>
          <w:tcPr>
            <w:tcBorders>
              <w:top w:color="d8d1c4" w:space="0" w:sz="8" w:val="single"/>
              <w:left w:color="d8d1c4" w:space="0" w:sz="8" w:val="single"/>
              <w:bottom w:color="d8d1c4" w:space="0" w:sz="8" w:val="single"/>
              <w:right w:color="d8d1c4" w:space="0" w:sz="8" w:val="single"/>
            </w:tcBorders>
            <w:shd w:fill="ffffff" w:val="clear"/>
            <w:tcMar>
              <w:top w:w="120.0" w:type="dxa"/>
              <w:bottom w:w="120.0" w:type="dxa"/>
            </w:tcMar>
            <w:vAlign w:val="center"/>
          </w:tcPr>
          <w:p w:rsidR="00000000" w:rsidDel="00000000" w:rsidP="00000000" w:rsidRDefault="00000000" w:rsidRPr="00000000" w14:paraId="0000000D">
            <w:pPr>
              <w:rPr>
                <w:rFonts w:ascii="Calibri" w:cs="Calibri" w:eastAsia="Calibri" w:hAnsi="Calibri"/>
                <w:color w:val="000000"/>
                <w:sz w:val="22"/>
                <w:szCs w:val="22"/>
              </w:rPr>
            </w:pPr>
            <w:r w:rsidDel="00000000" w:rsidR="00000000" w:rsidRPr="00000000">
              <w:rPr>
                <w:rFonts w:ascii="Calibri" w:cs="Calibri" w:eastAsia="Calibri" w:hAnsi="Calibri"/>
                <w:b w:val="1"/>
                <w:bCs w:val="1"/>
                <w:color w:val="6b665f"/>
                <w:sz w:val="19"/>
                <w:szCs w:val="19"/>
                <w:rtl w:val="0"/>
              </w:rPr>
              <w:t xml:space="preserve"> </w:t>
            </w:r>
            <w:r w:rsidDel="00000000" w:rsidR="00000000" w:rsidRPr="00000000">
              <w:rPr>
                <w:rFonts w:ascii="Calibri" w:cs="Calibri" w:eastAsia="Calibri" w:hAnsi="Calibri"/>
                <w:color w:val="6b665f"/>
                <w:sz w:val="19"/>
                <w:szCs w:val="19"/>
                <w:rtl w:val="0"/>
              </w:rPr>
              <w:t xml:space="preserve">45 visible words including CTA</w:t>
            </w:r>
            <w:r w:rsidDel="00000000" w:rsidR="00000000" w:rsidRPr="00000000">
              <w:rPr>
                <w:rtl w:val="0"/>
              </w:rPr>
            </w:r>
          </w:p>
        </w:tc>
      </w:tr>
      <w:tr>
        <w:trPr>
          <w:cantSplit w:val="0"/>
          <w:tblHeader w:val="0"/>
        </w:trPr>
        <w:tc>
          <w:tcPr>
            <w:tcBorders>
              <w:top w:color="d8d1c4" w:space="0" w:sz="8" w:val="single"/>
              <w:left w:color="d8d1c4" w:space="0" w:sz="8" w:val="single"/>
              <w:bottom w:color="d8d1c4" w:space="0" w:sz="8" w:val="single"/>
              <w:right w:color="d8d1c4" w:space="0" w:sz="8" w:val="single"/>
            </w:tcBorders>
            <w:shd w:fill="efe9dd" w:val="clear"/>
            <w:tcMar>
              <w:top w:w="120.0" w:type="dxa"/>
              <w:bottom w:w="120.0" w:type="dxa"/>
            </w:tcMar>
            <w:vAlign w:val="center"/>
          </w:tcPr>
          <w:p w:rsidR="00000000" w:rsidDel="00000000" w:rsidP="00000000" w:rsidRDefault="00000000" w:rsidRPr="00000000" w14:paraId="0000000E">
            <w:pPr>
              <w:rPr>
                <w:rFonts w:ascii="Calibri" w:cs="Calibri" w:eastAsia="Calibri" w:hAnsi="Calibri"/>
                <w:color w:val="000000"/>
                <w:sz w:val="22"/>
                <w:szCs w:val="22"/>
              </w:rPr>
            </w:pPr>
            <w:r w:rsidDel="00000000" w:rsidR="00000000" w:rsidRPr="00000000">
              <w:rPr>
                <w:rFonts w:ascii="Calibri" w:cs="Calibri" w:eastAsia="Calibri" w:hAnsi="Calibri"/>
                <w:b w:val="1"/>
                <w:bCs w:val="1"/>
                <w:color w:val="841617"/>
                <w:sz w:val="18"/>
                <w:szCs w:val="18"/>
                <w:rtl w:val="0"/>
              </w:rPr>
              <w:t xml:space="preserve">Status</w:t>
            </w:r>
            <w:r w:rsidDel="00000000" w:rsidR="00000000" w:rsidRPr="00000000">
              <w:rPr>
                <w:rtl w:val="0"/>
              </w:rPr>
            </w:r>
          </w:p>
        </w:tc>
        <w:tc>
          <w:tcPr>
            <w:tcBorders>
              <w:top w:color="d8d1c4" w:space="0" w:sz="8" w:val="single"/>
              <w:left w:color="d8d1c4" w:space="0" w:sz="8" w:val="single"/>
              <w:bottom w:color="d8d1c4" w:space="0" w:sz="8" w:val="single"/>
              <w:right w:color="d8d1c4" w:space="0" w:sz="8" w:val="single"/>
            </w:tcBorders>
            <w:shd w:fill="ffffff" w:val="clear"/>
            <w:tcMar>
              <w:top w:w="120.0" w:type="dxa"/>
              <w:bottom w:w="120.0" w:type="dxa"/>
            </w:tcMar>
            <w:vAlign w:val="center"/>
          </w:tcPr>
          <w:p w:rsidR="00000000" w:rsidDel="00000000" w:rsidP="00000000" w:rsidRDefault="00000000" w:rsidRPr="00000000" w14:paraId="0000000F">
            <w:pPr>
              <w:rPr>
                <w:rFonts w:ascii="Calibri" w:cs="Calibri" w:eastAsia="Calibri" w:hAnsi="Calibri"/>
                <w:color w:val="000000"/>
                <w:sz w:val="22"/>
                <w:szCs w:val="22"/>
              </w:rPr>
            </w:pPr>
            <w:r w:rsidDel="00000000" w:rsidR="00000000" w:rsidRPr="00000000">
              <w:rPr>
                <w:rFonts w:ascii="Calibri" w:cs="Calibri" w:eastAsia="Calibri" w:hAnsi="Calibri"/>
                <w:sz w:val="20"/>
                <w:szCs w:val="20"/>
                <w:rtl w:val="0"/>
              </w:rPr>
              <w:t xml:space="preserve">Governing hero structure and CTA are established. Headline and supporting copy in this document are proposed for stakeholder review, not previously approved final copy.</w:t>
            </w:r>
            <w:r w:rsidDel="00000000" w:rsidR="00000000" w:rsidRPr="00000000">
              <w:rPr>
                <w:rtl w:val="0"/>
              </w:rPr>
            </w:r>
          </w:p>
        </w:tc>
      </w:tr>
    </w:tbl>
    <w:p w:rsidR="00000000" w:rsidDel="00000000" w:rsidP="00000000" w:rsidRDefault="00000000" w:rsidRPr="00000000" w14:paraId="00000010">
      <w:pPr>
        <w:rPr>
          <w:rFonts w:ascii="Calibri" w:cs="Calibri" w:eastAsia="Calibri" w:hAnsi="Calibri"/>
        </w:rPr>
      </w:pPr>
      <w:r w:rsidDel="00000000" w:rsidR="00000000" w:rsidRPr="00000000">
        <w:rPr>
          <w:rtl w:val="0"/>
        </w:rPr>
      </w:r>
    </w:p>
    <w:tbl>
      <w:tblPr>
        <w:tblStyle w:val="Table2"/>
        <w:tblW w:w="9936.0" w:type="dxa"/>
        <w:jc w:val="center"/>
        <w:tblLayout w:type="fixed"/>
        <w:tblLook w:val="0400"/>
      </w:tblPr>
      <w:tblGrid>
        <w:gridCol w:w="9936"/>
        <w:tblGridChange w:id="0">
          <w:tblGrid>
            <w:gridCol w:w="9936"/>
          </w:tblGrid>
        </w:tblGridChange>
      </w:tblGrid>
      <w:tr>
        <w:trPr>
          <w:cantSplit w:val="0"/>
          <w:tblHeader w:val="0"/>
        </w:trPr>
        <w:tc>
          <w:tcPr>
            <w:tcBorders>
              <w:top w:color="841617" w:space="0" w:sz="10" w:val="single"/>
              <w:left w:color="841617" w:space="0" w:sz="10" w:val="single"/>
              <w:bottom w:color="841617" w:space="0" w:sz="10" w:val="single"/>
              <w:right w:color="841617" w:space="0" w:sz="10" w:val="single"/>
            </w:tcBorders>
            <w:shd w:fill="f4eee8" w:val="clear"/>
            <w:tcMar>
              <w:top w:w="170.0" w:type="dxa"/>
              <w:bottom w:w="170.0" w:type="dxa"/>
            </w:tcMa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Governing principle</w:t>
            </w:r>
            <w:r w:rsidDel="00000000" w:rsidR="00000000" w:rsidRPr="00000000">
              <w:rPr>
                <w:rtl w:val="0"/>
              </w:rPr>
            </w:r>
          </w:p>
          <w:p w:rsidR="00000000" w:rsidDel="00000000" w:rsidP="00000000" w:rsidRDefault="00000000" w:rsidRPr="00000000" w14:paraId="00000012">
            <w:pPr>
              <w:spacing w:after="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Lead with the customer outcome. Explain the category later.</w:t>
            </w:r>
            <w:r w:rsidDel="00000000" w:rsidR="00000000" w:rsidRPr="00000000">
              <w:rPr>
                <w:rtl w:val="0"/>
              </w:rPr>
            </w:r>
          </w:p>
        </w:tc>
      </w:tr>
    </w:tbl>
    <w:p w:rsidR="00000000" w:rsidDel="00000000" w:rsidP="00000000" w:rsidRDefault="00000000" w:rsidRPr="00000000" w14:paraId="00000013">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rFonts w:ascii="Calibri" w:cs="Calibri" w:eastAsia="Calibri" w:hAnsi="Calibri"/>
        </w:rPr>
      </w:pPr>
      <w:r w:rsidDel="00000000" w:rsidR="00000000" w:rsidRPr="00000000">
        <w:rPr>
          <w:rFonts w:ascii="Calibri" w:cs="Calibri" w:eastAsia="Calibri" w:hAnsi="Calibri"/>
          <w:rtl w:val="0"/>
        </w:rPr>
        <w:t xml:space="preserve">1. Proposed Hero Copy for Review</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This is the leading copy recommendation for stakeholder review. It is not yet approved final copy. It follows the governing hero brief while sharpening the commercial message around existing opportunity, revenue leakage, and the economic value of repairing the gaps that suppress growth - without introducing frameworks, technical mechanisms, or category language.</w:t>
      </w:r>
    </w:p>
    <w:tbl>
      <w:tblPr>
        <w:tblStyle w:val="Table3"/>
        <w:tblW w:w="9936.0" w:type="dxa"/>
        <w:jc w:val="center"/>
        <w:tblLayout w:type="fixed"/>
        <w:tblLook w:val="0400"/>
      </w:tblPr>
      <w:tblGrid>
        <w:gridCol w:w="9936"/>
        <w:tblGridChange w:id="0">
          <w:tblGrid>
            <w:gridCol w:w="9936"/>
          </w:tblGrid>
        </w:tblGridChange>
      </w:tblGrid>
      <w:tr>
        <w:trPr>
          <w:cantSplit w:val="0"/>
          <w:tblHeader w:val="0"/>
        </w:trPr>
        <w:tc>
          <w:tcPr>
            <w:tcBorders>
              <w:top w:color="b8863b" w:space="0" w:sz="10" w:val="single"/>
              <w:left w:color="b8863b" w:space="0" w:sz="10" w:val="single"/>
              <w:bottom w:color="b8863b" w:space="0" w:sz="10" w:val="single"/>
              <w:right w:color="b8863b" w:space="0" w:sz="10" w:val="single"/>
            </w:tcBorders>
            <w:shd w:fill="f8f5ec" w:val="clear"/>
            <w:tcMar>
              <w:top w:w="220.0" w:type="dxa"/>
              <w:bottom w:w="220.0" w:type="dxa"/>
            </w:tcMar>
            <w:vAlign w:val="center"/>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PROPOSED FOR REVIEW</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b w:val="1"/>
                <w:bCs w:val="1"/>
                <w:sz w:val="44"/>
                <w:szCs w:val="44"/>
                <w:rtl w:val="0"/>
              </w:rPr>
              <w:t xml:space="preserve">Turn more of your existing opportunity into revenue.</w:t>
            </w:r>
            <w:r w:rsidDel="00000000" w:rsidR="00000000" w:rsidRPr="00000000">
              <w:rPr>
                <w:rtl w:val="0"/>
              </w:rPr>
            </w:r>
          </w:p>
          <w:p w:rsidR="00000000" w:rsidDel="00000000" w:rsidP="00000000" w:rsidRDefault="00000000" w:rsidRPr="00000000" w14:paraId="00000018">
            <w:pPr>
              <w:spacing w:after="240" w:lineRule="auto"/>
              <w:rPr>
                <w:rFonts w:ascii="Calibri" w:cs="Calibri" w:eastAsia="Calibri" w:hAnsi="Calibri"/>
              </w:rPr>
            </w:pPr>
            <w:r w:rsidDel="00000000" w:rsidR="00000000" w:rsidRPr="00000000">
              <w:rPr>
                <w:rFonts w:ascii="Calibri" w:cs="Calibri" w:eastAsia="Calibri" w:hAnsi="Calibri"/>
                <w:sz w:val="22"/>
                <w:szCs w:val="22"/>
                <w:rtl w:val="0"/>
              </w:rPr>
              <w:t xml:space="preserve">GrowthWorks Systems helps founder-led service businesses identify and repair the gaps that prevent demand, leads, and customers from producing their full value.</w:t>
            </w:r>
            <w:r w:rsidDel="00000000" w:rsidR="00000000" w:rsidRPr="00000000">
              <w:rPr>
                <w:rtl w:val="0"/>
              </w:rPr>
            </w:r>
          </w:p>
          <w:p w:rsidR="00000000" w:rsidDel="00000000" w:rsidP="00000000" w:rsidRDefault="00000000" w:rsidRPr="00000000" w14:paraId="00000019">
            <w:pPr>
              <w:shd w:fill="841617" w:val="clear"/>
              <w:spacing w:after="200" w:before="120" w:lineRule="auto"/>
              <w:ind w:left="173" w:right="5688" w:firstLine="0"/>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Book a Revenue Diagnostic</w:t>
            </w:r>
            <w:r w:rsidDel="00000000" w:rsidR="00000000" w:rsidRPr="00000000">
              <w:rPr>
                <w:rtl w:val="0"/>
              </w:rPr>
            </w:r>
          </w:p>
        </w:tc>
      </w:tr>
    </w:tbl>
    <w:p w:rsidR="00000000" w:rsidDel="00000000" w:rsidP="00000000" w:rsidRDefault="00000000" w:rsidRPr="00000000" w14:paraId="0000001A">
      <w:pPr>
        <w:pStyle w:val="Heading2"/>
        <w:rPr>
          <w:rFonts w:ascii="Calibri" w:cs="Calibri" w:eastAsia="Calibri" w:hAnsi="Calibri"/>
        </w:rPr>
      </w:pPr>
      <w:r w:rsidDel="00000000" w:rsidR="00000000" w:rsidRPr="00000000">
        <w:rPr>
          <w:rFonts w:ascii="Calibri" w:cs="Calibri" w:eastAsia="Calibri" w:hAnsi="Calibri"/>
          <w:rtl w:val="0"/>
        </w:rPr>
        <w:t xml:space="preserve">Why this proposal fits the governing brief</w:t>
      </w:r>
    </w:p>
    <w:tbl>
      <w:tblPr>
        <w:tblStyle w:val="Table4"/>
        <w:tblW w:w="9720.0" w:type="dxa"/>
        <w:jc w:val="center"/>
        <w:tblLayout w:type="fixed"/>
        <w:tblLook w:val="0400"/>
      </w:tblPr>
      <w:tblGrid>
        <w:gridCol w:w="2160"/>
        <w:gridCol w:w="1512"/>
        <w:gridCol w:w="6048"/>
        <w:tblGridChange w:id="0">
          <w:tblGrid>
            <w:gridCol w:w="2160"/>
            <w:gridCol w:w="1512"/>
            <w:gridCol w:w="6048"/>
          </w:tblGrid>
        </w:tblGridChange>
      </w:tblGrid>
      <w:tr>
        <w:trPr>
          <w:cantSplit w:val="0"/>
          <w:tblHeader w:val="0"/>
        </w:trPr>
        <w:tc>
          <w:tcPr>
            <w:shd w:fill="841617" w:val="clear"/>
            <w:tcMar>
              <w:top w:w="100.0" w:type="dxa"/>
              <w:bottom w:w="100.0" w:type="dxa"/>
            </w:tcMa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Requirement</w:t>
            </w:r>
            <w:r w:rsidDel="00000000" w:rsidR="00000000" w:rsidRPr="00000000">
              <w:rPr>
                <w:rtl w:val="0"/>
              </w:rPr>
            </w:r>
          </w:p>
        </w:tc>
        <w:tc>
          <w:tcPr>
            <w:shd w:fill="841617" w:val="clear"/>
            <w:tcMar>
              <w:top w:w="100.0" w:type="dxa"/>
              <w:bottom w:w="100.0" w:type="dxa"/>
            </w:tcMar>
            <w:vAlign w:val="center"/>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c>
          <w:tcPr>
            <w:shd w:fill="841617" w:val="clear"/>
            <w:tcMar>
              <w:top w:w="100.0" w:type="dxa"/>
              <w:bottom w:w="100.0" w:type="dxa"/>
            </w:tcMar>
            <w:vAlign w:val="cente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How the copy handles it</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sz w:val="18"/>
                <w:szCs w:val="18"/>
                <w:rtl w:val="0"/>
              </w:rPr>
              <w:t xml:space="preserve">Outcome focused</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sz w:val="18"/>
                <w:szCs w:val="18"/>
                <w:rtl w:val="0"/>
              </w:rPr>
              <w:t xml:space="preserve">Starts with the commercial result: turning more existing opportunity into revenue.</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sz w:val="18"/>
                <w:szCs w:val="18"/>
                <w:rtl w:val="0"/>
              </w:rPr>
              <w:t xml:space="preserve">What GWS does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sz w:val="18"/>
                <w:szCs w:val="18"/>
                <w:rtl w:val="0"/>
              </w:rPr>
              <w:t xml:space="preserve">Explains the role of GWS as identifying and repairing gaps that suppress the value of demand, leads, and customers - without prescribing tools.</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sz w:val="18"/>
                <w:szCs w:val="18"/>
                <w:rtl w:val="0"/>
              </w:rPr>
              <w:t xml:space="preserve">Who it serves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sz w:val="18"/>
                <w:szCs w:val="18"/>
                <w:rtl w:val="0"/>
              </w:rPr>
              <w:t xml:space="preserve">Explicitly identifies founder-led service businesses.</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sz w:val="18"/>
                <w:szCs w:val="18"/>
                <w:rtl w:val="0"/>
              </w:rPr>
              <w:t xml:space="preserve">Why it matters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sz w:val="18"/>
                <w:szCs w:val="18"/>
                <w:rtl w:val="0"/>
              </w:rPr>
              <w:t xml:space="preserve">Frames the problem in economic terms: valuable opportunity already exists, but gaps prevent the business from capturing its full value.</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sz w:val="18"/>
                <w:szCs w:val="18"/>
                <w:rtl w:val="0"/>
              </w:rPr>
              <w:t xml:space="preserve">No jargon/framework</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sz w:val="18"/>
                <w:szCs w:val="18"/>
                <w:rtl w:val="0"/>
              </w:rPr>
              <w:t xml:space="preserve">No Revenue Infrastructure, domains, methodology, technical mechanisms, or tool language.</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sz w:val="18"/>
                <w:szCs w:val="18"/>
                <w:rtl w:val="0"/>
              </w:rPr>
              <w:t xml:space="preserve">Opening-screen clarity</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sz w:val="18"/>
                <w:szCs w:val="18"/>
                <w:rtl w:val="0"/>
              </w:rPr>
              <w:t xml:space="preserve">One headline, one supporting sentence, one primary CTA.</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sz w:val="18"/>
                <w:szCs w:val="18"/>
                <w:rtl w:val="0"/>
              </w:rPr>
              <w:t xml:space="preserve">Word budget</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sz w:val="18"/>
                <w:szCs w:val="18"/>
                <w:rtl w:val="0"/>
              </w:rPr>
              <w:t xml:space="preserve">Approximately 35 visible words including CTA, below the 45-word ceiling.</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sz w:val="18"/>
                <w:szCs w:val="18"/>
                <w:rtl w:val="0"/>
              </w:rPr>
              <w:t xml:space="preserve">Economic relevance</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sz w:val="18"/>
                <w:szCs w:val="18"/>
                <w:rtl w:val="0"/>
              </w:rPr>
              <w:t xml:space="preserve">Makes the financial logic implicit: improve the return from demand, leads, and customer relationships the business already has.</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sz w:val="18"/>
                <w:szCs w:val="18"/>
                <w:rtl w:val="0"/>
              </w:rPr>
              <w:t xml:space="preserve">Diagnostic congruence</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b w:val="1"/>
                <w:bCs w:val="1"/>
                <w:color w:val="841617"/>
                <w:sz w:val="18"/>
                <w:szCs w:val="18"/>
                <w:rtl w:val="0"/>
              </w:rPr>
              <w:t xml:space="preserve">PASS</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sz w:val="18"/>
                <w:szCs w:val="18"/>
                <w:rtl w:val="0"/>
              </w:rPr>
              <w:t xml:space="preserve">Creates a natural reason to investigate where value is being lost, making Book a Revenue Diagnostic the logical next step.</w:t>
            </w:r>
            <w:r w:rsidDel="00000000" w:rsidR="00000000" w:rsidRPr="00000000">
              <w:rPr>
                <w:rtl w:val="0"/>
              </w:rPr>
            </w:r>
          </w:p>
        </w:tc>
      </w:tr>
    </w:tbl>
    <w:p w:rsidR="00000000" w:rsidDel="00000000" w:rsidP="00000000" w:rsidRDefault="00000000" w:rsidRPr="00000000" w14:paraId="0000003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rPr>
      </w:pPr>
      <w:r w:rsidDel="00000000" w:rsidR="00000000" w:rsidRPr="00000000">
        <w:rPr>
          <w:rFonts w:ascii="Calibri" w:cs="Calibri" w:eastAsia="Calibri" w:hAnsi="Calibri"/>
          <w:rtl w:val="0"/>
        </w:rPr>
        <w:t xml:space="preserve">2. Opening-Screen Visual Direction</w:t>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The visual below is an illustrative centered hero composition, </w:t>
      </w:r>
      <w:r w:rsidDel="00000000" w:rsidR="00000000" w:rsidRPr="00000000">
        <w:rPr>
          <w:rFonts w:ascii="Calibri" w:cs="Calibri" w:eastAsia="Calibri" w:hAnsi="Calibri"/>
          <w:b w:val="1"/>
          <w:bCs w:val="1"/>
          <w:shd w:fill="f4cccc" w:val="clear"/>
          <w:rtl w:val="0"/>
        </w:rPr>
        <w:t xml:space="preserve">not the final UI</w:t>
      </w:r>
      <w:r w:rsidDel="00000000" w:rsidR="00000000" w:rsidRPr="00000000">
        <w:rPr>
          <w:rFonts w:ascii="Calibri" w:cs="Calibri" w:eastAsia="Calibri" w:hAnsi="Calibri"/>
          <w:rtl w:val="0"/>
        </w:rPr>
        <w:t xml:space="preserve">. It reflects the intended centered opening-screen direction and shows how the proposed copy can remain dominant without competing with founder credentials, framework education, or dense explanatory content.</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Pr>
        <w:drawing>
          <wp:inline distB="0" distT="0" distL="114300" distR="114300">
            <wp:extent cx="6400800" cy="34137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Calibri" w:cs="Calibri" w:eastAsia="Calibri" w:hAnsi="Calibri"/>
        </w:rPr>
      </w:pPr>
      <w:r w:rsidDel="00000000" w:rsidR="00000000" w:rsidRPr="00000000">
        <w:rPr>
          <w:rFonts w:ascii="Calibri" w:cs="Calibri" w:eastAsia="Calibri" w:hAnsi="Calibri"/>
          <w:rtl w:val="0"/>
        </w:rPr>
        <w:t xml:space="preserve">Illustrative centered hero mockup: proposed outcome-led copy with a restrained opportunity-to-revenue motif.</w:t>
      </w:r>
    </w:p>
    <w:tbl>
      <w:tblPr>
        <w:tblStyle w:val="Table5"/>
        <w:tblW w:w="9720.0" w:type="dxa"/>
        <w:jc w:val="center"/>
        <w:tblLayout w:type="fixed"/>
        <w:tblLook w:val="0400"/>
      </w:tblPr>
      <w:tblGrid>
        <w:gridCol w:w="3024"/>
        <w:gridCol w:w="6696"/>
        <w:tblGridChange w:id="0">
          <w:tblGrid>
            <w:gridCol w:w="3024"/>
            <w:gridCol w:w="6696"/>
          </w:tblGrid>
        </w:tblGridChange>
      </w:tblGrid>
      <w:tr>
        <w:trPr>
          <w:cantSplit w:val="0"/>
          <w:tblHeader w:val="0"/>
        </w:trPr>
        <w:tc>
          <w:tcPr>
            <w:shd w:fill="2b2b2b" w:val="clear"/>
            <w:tcMar>
              <w:top w:w="100.0" w:type="dxa"/>
              <w:bottom w:w="100.0" w:type="dxa"/>
            </w:tcMa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Visual element</w:t>
            </w:r>
            <w:r w:rsidDel="00000000" w:rsidR="00000000" w:rsidRPr="00000000">
              <w:rPr>
                <w:rtl w:val="0"/>
              </w:rPr>
            </w:r>
          </w:p>
        </w:tc>
        <w:tc>
          <w:tcPr>
            <w:shd w:fill="2b2b2b" w:val="clear"/>
            <w:tcMar>
              <w:top w:w="100.0" w:type="dxa"/>
              <w:bottom w:w="100.0" w:type="dxa"/>
            </w:tcMa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Implementation intent</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Headline dominance</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sz w:val="18"/>
                <w:szCs w:val="18"/>
                <w:rtl w:val="0"/>
              </w:rPr>
              <w:t xml:space="preserve">Headline remains the strongest first-look element. Supporting copy and CTA are clearly subordinate.</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Outcome motif</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sz w:val="18"/>
                <w:szCs w:val="18"/>
                <w:rtl w:val="0"/>
              </w:rPr>
              <w:t xml:space="preserve">Use a simple, non-framework visual suggesting opportunity moving through a business with friction or gaps reduced so more value reaches revenue. Avoid duplicating the four customer outcomes in the hero visual; those are introduced later in the homepage story.</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Whitespace</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sz w:val="18"/>
                <w:szCs w:val="18"/>
                <w:rtl w:val="0"/>
              </w:rPr>
              <w:t xml:space="preserve">Keep the first screen open and calm. Do not fill unused space with proof points, framework labels, or additional cards.</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CTA</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sz w:val="18"/>
                <w:szCs w:val="18"/>
                <w:rtl w:val="0"/>
              </w:rPr>
              <w:t xml:space="preserve">Use one dominant primary action: Book a Revenue Diagnostic.</w:t>
            </w:r>
            <w:r w:rsidDel="00000000" w:rsidR="00000000" w:rsidRPr="00000000">
              <w:rPr>
                <w:rtl w:val="0"/>
              </w:rPr>
            </w:r>
          </w:p>
        </w:tc>
      </w:tr>
      <w:tr>
        <w:trPr>
          <w:cantSplit w:val="0"/>
          <w:tblHeader w:val="0"/>
        </w:trPr>
        <w:tc>
          <w:tcPr>
            <w:tcBorders>
              <w:bottom w:color="d9d2c7" w:space="0" w:sz="4" w:val="single"/>
            </w:tcBorders>
            <w:tcMar>
              <w:top w:w="95.0" w:type="dxa"/>
              <w:bottom w:w="95.0" w:type="dxa"/>
            </w:tcM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Mobile</w:t>
            </w:r>
            <w:r w:rsidDel="00000000" w:rsidR="00000000" w:rsidRPr="00000000">
              <w:rPr>
                <w:rtl w:val="0"/>
              </w:rPr>
            </w:r>
          </w:p>
        </w:tc>
        <w:tc>
          <w:tcPr>
            <w:tcBorders>
              <w:bottom w:color="d9d2c7" w:space="0" w:sz="4" w:val="single"/>
            </w:tcBorders>
            <w:tcMar>
              <w:top w:w="95.0" w:type="dxa"/>
              <w:bottom w:w="95.0" w:type="dxa"/>
            </w:tcM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Keep the hero content centered. Preserve headline readability and CTA prominence, then place any supporting visual beneath the message rather than beside it.</w:t>
            </w:r>
          </w:p>
        </w:tc>
      </w:tr>
    </w:tbl>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rPr>
          <w:rFonts w:ascii="Calibri" w:cs="Calibri" w:eastAsia="Calibri" w:hAnsi="Calibri"/>
        </w:rPr>
      </w:pPr>
      <w:r w:rsidDel="00000000" w:rsidR="00000000" w:rsidRPr="00000000">
        <w:rPr>
          <w:rFonts w:ascii="Calibri" w:cs="Calibri" w:eastAsia="Calibri" w:hAnsi="Calibri"/>
          <w:rtl w:val="0"/>
        </w:rPr>
        <w:t xml:space="preserve">3. Additional Copy Options for Review</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These alternatives remain within the same governance boundary and are presented for stakeholder review. None should be treated as approved final copy until explicitly selected.</w:t>
      </w:r>
    </w:p>
    <w:p w:rsidR="00000000" w:rsidDel="00000000" w:rsidP="00000000" w:rsidRDefault="00000000" w:rsidRPr="00000000" w14:paraId="0000004D">
      <w:pPr>
        <w:pStyle w:val="Heading2"/>
        <w:rPr>
          <w:rFonts w:ascii="Calibri" w:cs="Calibri" w:eastAsia="Calibri" w:hAnsi="Calibri"/>
        </w:rPr>
      </w:pPr>
      <w:r w:rsidDel="00000000" w:rsidR="00000000" w:rsidRPr="00000000">
        <w:rPr>
          <w:rFonts w:ascii="Calibri" w:cs="Calibri" w:eastAsia="Calibri" w:hAnsi="Calibri"/>
          <w:rtl w:val="0"/>
        </w:rPr>
        <w:t xml:space="preserve">Option 2 - Existing opportunity</w:t>
      </w:r>
    </w:p>
    <w:p w:rsidR="00000000" w:rsidDel="00000000" w:rsidP="00000000" w:rsidRDefault="00000000" w:rsidRPr="00000000" w14:paraId="0000004E">
      <w:pPr>
        <w:spacing w:after="100" w:lineRule="auto"/>
        <w:rPr>
          <w:rFonts w:ascii="Calibri" w:cs="Calibri" w:eastAsia="Calibri" w:hAnsi="Calibri"/>
        </w:rPr>
      </w:pPr>
      <w:r w:rsidDel="00000000" w:rsidR="00000000" w:rsidRPr="00000000">
        <w:rPr>
          <w:rFonts w:ascii="Calibri" w:cs="Calibri" w:eastAsia="Calibri" w:hAnsi="Calibri"/>
          <w:b w:val="1"/>
          <w:bCs w:val="1"/>
          <w:color w:val="841617"/>
          <w:sz w:val="30"/>
          <w:szCs w:val="30"/>
          <w:rtl w:val="0"/>
        </w:rPr>
        <w:t xml:space="preserve">Capture more revenue from the opportunities you already have.</w:t>
      </w:r>
      <w:r w:rsidDel="00000000" w:rsidR="00000000" w:rsidRPr="00000000">
        <w:rPr>
          <w:rtl w:val="0"/>
        </w:rPr>
      </w:r>
    </w:p>
    <w:p w:rsidR="00000000" w:rsidDel="00000000" w:rsidP="00000000" w:rsidRDefault="00000000" w:rsidRPr="00000000" w14:paraId="0000004F">
      <w:pPr>
        <w:spacing w:after="100" w:lineRule="auto"/>
        <w:rPr>
          <w:rFonts w:ascii="Calibri" w:cs="Calibri" w:eastAsia="Calibri" w:hAnsi="Calibri"/>
        </w:rPr>
      </w:pPr>
      <w:r w:rsidDel="00000000" w:rsidR="00000000" w:rsidRPr="00000000">
        <w:rPr>
          <w:rFonts w:ascii="Calibri" w:cs="Calibri" w:eastAsia="Calibri" w:hAnsi="Calibri"/>
          <w:sz w:val="20"/>
          <w:szCs w:val="20"/>
          <w:rtl w:val="0"/>
        </w:rPr>
        <w:t xml:space="preserve">GrowthWorks Systems helps founder-led service businesses reduce the gaps that cause valuable opportunities to be missed, delayed, lost, or overlooked.</w:t>
      </w: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b w:val="1"/>
          <w:bCs w:val="1"/>
          <w:color w:val="b8863b"/>
          <w:sz w:val="19"/>
          <w:szCs w:val="19"/>
          <w:rtl w:val="0"/>
        </w:rPr>
        <w:t xml:space="preserve">CTA: Book a Revenue Diagnostic</w:t>
      </w:r>
      <w:r w:rsidDel="00000000" w:rsidR="00000000" w:rsidRPr="00000000">
        <w:rPr>
          <w:rtl w:val="0"/>
        </w:rPr>
      </w:r>
    </w:p>
    <w:p w:rsidR="00000000" w:rsidDel="00000000" w:rsidP="00000000" w:rsidRDefault="00000000" w:rsidRPr="00000000" w14:paraId="00000051">
      <w:pPr>
        <w:pStyle w:val="Heading2"/>
        <w:rPr>
          <w:rFonts w:ascii="Calibri" w:cs="Calibri" w:eastAsia="Calibri" w:hAnsi="Calibri"/>
        </w:rPr>
      </w:pPr>
      <w:r w:rsidDel="00000000" w:rsidR="00000000" w:rsidRPr="00000000">
        <w:rPr>
          <w:rFonts w:ascii="Calibri" w:cs="Calibri" w:eastAsia="Calibri" w:hAnsi="Calibri"/>
          <w:rtl w:val="0"/>
        </w:rPr>
        <w:t xml:space="preserve">Option 3 - Revenue leakage</w:t>
      </w:r>
    </w:p>
    <w:p w:rsidR="00000000" w:rsidDel="00000000" w:rsidP="00000000" w:rsidRDefault="00000000" w:rsidRPr="00000000" w14:paraId="00000052">
      <w:pPr>
        <w:spacing w:after="100" w:lineRule="auto"/>
        <w:rPr>
          <w:rFonts w:ascii="Calibri" w:cs="Calibri" w:eastAsia="Calibri" w:hAnsi="Calibri"/>
        </w:rPr>
      </w:pPr>
      <w:r w:rsidDel="00000000" w:rsidR="00000000" w:rsidRPr="00000000">
        <w:rPr>
          <w:rFonts w:ascii="Calibri" w:cs="Calibri" w:eastAsia="Calibri" w:hAnsi="Calibri"/>
          <w:b w:val="1"/>
          <w:bCs w:val="1"/>
          <w:color w:val="841617"/>
          <w:sz w:val="30"/>
          <w:szCs w:val="30"/>
          <w:rtl w:val="0"/>
        </w:rPr>
        <w:t xml:space="preserve">Stop letting good opportunities become lost revenue.</w:t>
      </w:r>
      <w:r w:rsidDel="00000000" w:rsidR="00000000" w:rsidRPr="00000000">
        <w:rPr>
          <w:rtl w:val="0"/>
        </w:rPr>
      </w:r>
    </w:p>
    <w:p w:rsidR="00000000" w:rsidDel="00000000" w:rsidP="00000000" w:rsidRDefault="00000000" w:rsidRPr="00000000" w14:paraId="00000053">
      <w:pPr>
        <w:spacing w:after="100" w:lineRule="auto"/>
        <w:rPr>
          <w:rFonts w:ascii="Calibri" w:cs="Calibri" w:eastAsia="Calibri" w:hAnsi="Calibri"/>
        </w:rPr>
      </w:pPr>
      <w:r w:rsidDel="00000000" w:rsidR="00000000" w:rsidRPr="00000000">
        <w:rPr>
          <w:rFonts w:ascii="Calibri" w:cs="Calibri" w:eastAsia="Calibri" w:hAnsi="Calibri"/>
          <w:sz w:val="20"/>
          <w:szCs w:val="20"/>
          <w:rtl w:val="0"/>
        </w:rPr>
        <w:t xml:space="preserve">GrowthWorks Systems helps founder-led service businesses strengthen how customers find, engage, buy, and return - so more existing opportunity becomes measurable growth.</w:t>
      </w: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b w:val="1"/>
          <w:bCs w:val="1"/>
          <w:color w:val="b8863b"/>
          <w:sz w:val="19"/>
          <w:szCs w:val="19"/>
          <w:rtl w:val="0"/>
        </w:rPr>
        <w:t xml:space="preserve">CTA: Book a Revenue Diagnostic</w:t>
      </w:r>
      <w:r w:rsidDel="00000000" w:rsidR="00000000" w:rsidRPr="00000000">
        <w:rPr>
          <w:rtl w:val="0"/>
        </w:rPr>
      </w:r>
    </w:p>
    <w:p w:rsidR="00000000" w:rsidDel="00000000" w:rsidP="00000000" w:rsidRDefault="00000000" w:rsidRPr="00000000" w14:paraId="00000055">
      <w:pPr>
        <w:pStyle w:val="Heading2"/>
        <w:rPr>
          <w:rFonts w:ascii="Calibri" w:cs="Calibri" w:eastAsia="Calibri" w:hAnsi="Calibri"/>
        </w:rPr>
      </w:pPr>
      <w:r w:rsidDel="00000000" w:rsidR="00000000" w:rsidRPr="00000000">
        <w:rPr>
          <w:rFonts w:ascii="Calibri" w:cs="Calibri" w:eastAsia="Calibri" w:hAnsi="Calibri"/>
          <w:rtl w:val="0"/>
        </w:rPr>
        <w:t xml:space="preserve">Option 4 - Demand value</w:t>
      </w:r>
    </w:p>
    <w:p w:rsidR="00000000" w:rsidDel="00000000" w:rsidP="00000000" w:rsidRDefault="00000000" w:rsidRPr="00000000" w14:paraId="00000056">
      <w:pPr>
        <w:spacing w:after="100" w:lineRule="auto"/>
        <w:rPr>
          <w:rFonts w:ascii="Calibri" w:cs="Calibri" w:eastAsia="Calibri" w:hAnsi="Calibri"/>
        </w:rPr>
      </w:pPr>
      <w:r w:rsidDel="00000000" w:rsidR="00000000" w:rsidRPr="00000000">
        <w:rPr>
          <w:rFonts w:ascii="Calibri" w:cs="Calibri" w:eastAsia="Calibri" w:hAnsi="Calibri"/>
          <w:b w:val="1"/>
          <w:bCs w:val="1"/>
          <w:color w:val="841617"/>
          <w:sz w:val="30"/>
          <w:szCs w:val="30"/>
          <w:rtl w:val="0"/>
        </w:rPr>
        <w:t xml:space="preserve">Get more growth from the demand you've already earned.</w:t>
      </w:r>
      <w:r w:rsidDel="00000000" w:rsidR="00000000" w:rsidRPr="00000000">
        <w:rPr>
          <w:rtl w:val="0"/>
        </w:rPr>
      </w:r>
    </w:p>
    <w:p w:rsidR="00000000" w:rsidDel="00000000" w:rsidP="00000000" w:rsidRDefault="00000000" w:rsidRPr="00000000" w14:paraId="00000057">
      <w:pPr>
        <w:spacing w:after="100" w:lineRule="auto"/>
        <w:rPr>
          <w:rFonts w:ascii="Calibri" w:cs="Calibri" w:eastAsia="Calibri" w:hAnsi="Calibri"/>
        </w:rPr>
      </w:pPr>
      <w:r w:rsidDel="00000000" w:rsidR="00000000" w:rsidRPr="00000000">
        <w:rPr>
          <w:rFonts w:ascii="Calibri" w:cs="Calibri" w:eastAsia="Calibri" w:hAnsi="Calibri"/>
          <w:sz w:val="20"/>
          <w:szCs w:val="20"/>
          <w:rtl w:val="0"/>
        </w:rPr>
        <w:t xml:space="preserve">GrowthWorks Systems helps founder-led service businesses turn visibility, leads, customers, and existing relationships into more consistent revenue.</w:t>
      </w: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b w:val="1"/>
          <w:bCs w:val="1"/>
          <w:color w:val="b8863b"/>
          <w:sz w:val="19"/>
          <w:szCs w:val="19"/>
          <w:rtl w:val="0"/>
        </w:rPr>
        <w:t xml:space="preserve">CTA: Book a Revenue Diagnostic</w:t>
      </w: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rFonts w:ascii="Calibri" w:cs="Calibri" w:eastAsia="Calibri" w:hAnsi="Calibri"/>
        </w:rPr>
      </w:pPr>
      <w:r w:rsidDel="00000000" w:rsidR="00000000" w:rsidRPr="00000000">
        <w:rPr>
          <w:rFonts w:ascii="Calibri" w:cs="Calibri" w:eastAsia="Calibri" w:hAnsi="Calibri"/>
          <w:rtl w:val="0"/>
        </w:rPr>
        <w:t xml:space="preserve">4. Copy and Implementation Guardrails</w:t>
      </w:r>
    </w:p>
    <w:p w:rsidR="00000000" w:rsidDel="00000000" w:rsidP="00000000" w:rsidRDefault="00000000" w:rsidRPr="00000000" w14:paraId="0000005B">
      <w:pPr>
        <w:numPr>
          <w:ilvl w:val="0"/>
          <w:numId w:val="1"/>
        </w:numPr>
        <w:spacing w:after="0" w:lineRule="auto"/>
        <w:ind w:left="360"/>
        <w:rPr>
          <w:rFonts w:ascii="Calibri" w:cs="Calibri" w:eastAsia="Calibri" w:hAnsi="Calibri"/>
        </w:rPr>
      </w:pPr>
      <w:r w:rsidDel="00000000" w:rsidR="00000000" w:rsidRPr="00000000">
        <w:rPr>
          <w:rFonts w:ascii="Calibri" w:cs="Calibri" w:eastAsia="Calibri" w:hAnsi="Calibri"/>
          <w:sz w:val="20"/>
          <w:szCs w:val="20"/>
          <w:rtl w:val="0"/>
        </w:rPr>
        <w:t xml:space="preserve">Keep the hero inside the Desired Outcome beat. The opening screen should answer “What becomes better?” while implying that valuable opportunity may already be going uncaptured; detailed problem diagnosis belongs later in the page.</w:t>
      </w:r>
      <w:r w:rsidDel="00000000" w:rsidR="00000000" w:rsidRPr="00000000">
        <w:rPr>
          <w:rtl w:val="0"/>
        </w:rPr>
      </w:r>
    </w:p>
    <w:p w:rsidR="00000000" w:rsidDel="00000000" w:rsidP="00000000" w:rsidRDefault="00000000" w:rsidRPr="00000000" w14:paraId="0000005C">
      <w:pPr>
        <w:numPr>
          <w:ilvl w:val="0"/>
          <w:numId w:val="1"/>
        </w:numPr>
        <w:spacing w:after="0" w:lineRule="auto"/>
        <w:ind w:left="360"/>
        <w:rPr>
          <w:rFonts w:ascii="Calibri" w:cs="Calibri" w:eastAsia="Calibri" w:hAnsi="Calibri"/>
        </w:rPr>
      </w:pPr>
      <w:r w:rsidDel="00000000" w:rsidR="00000000" w:rsidRPr="00000000">
        <w:rPr>
          <w:rFonts w:ascii="Calibri" w:cs="Calibri" w:eastAsia="Calibri" w:hAnsi="Calibri"/>
          <w:sz w:val="20"/>
          <w:szCs w:val="20"/>
          <w:rtl w:val="0"/>
        </w:rPr>
        <w:t xml:space="preserve">Do not introduce Revenue Infrastructure, the nine-domain framework, the Diagnose / Design / Implement / Optimize process, or specific technologies in the hero.</w:t>
      </w:r>
      <w:r w:rsidDel="00000000" w:rsidR="00000000" w:rsidRPr="00000000">
        <w:rPr>
          <w:rtl w:val="0"/>
        </w:rPr>
      </w:r>
    </w:p>
    <w:p w:rsidR="00000000" w:rsidDel="00000000" w:rsidP="00000000" w:rsidRDefault="00000000" w:rsidRPr="00000000" w14:paraId="0000005D">
      <w:pPr>
        <w:numPr>
          <w:ilvl w:val="0"/>
          <w:numId w:val="1"/>
        </w:numPr>
        <w:spacing w:after="0" w:lineRule="auto"/>
        <w:ind w:left="360"/>
        <w:rPr>
          <w:rFonts w:ascii="Calibri" w:cs="Calibri" w:eastAsia="Calibri" w:hAnsi="Calibri"/>
        </w:rPr>
      </w:pPr>
      <w:r w:rsidDel="00000000" w:rsidR="00000000" w:rsidRPr="00000000">
        <w:rPr>
          <w:rFonts w:ascii="Calibri" w:cs="Calibri" w:eastAsia="Calibri" w:hAnsi="Calibri"/>
          <w:sz w:val="20"/>
          <w:szCs w:val="20"/>
          <w:rtl w:val="0"/>
        </w:rPr>
        <w:t xml:space="preserve">Do not place founder biography or long credential proof in the first-look area. The credibility bridge and founder section handle those jobs later.</w:t>
      </w:r>
      <w:r w:rsidDel="00000000" w:rsidR="00000000" w:rsidRPr="00000000">
        <w:rPr>
          <w:rtl w:val="0"/>
        </w:rPr>
      </w:r>
    </w:p>
    <w:p w:rsidR="00000000" w:rsidDel="00000000" w:rsidP="00000000" w:rsidRDefault="00000000" w:rsidRPr="00000000" w14:paraId="0000005E">
      <w:pPr>
        <w:numPr>
          <w:ilvl w:val="0"/>
          <w:numId w:val="1"/>
        </w:numPr>
        <w:spacing w:after="0" w:lineRule="auto"/>
        <w:ind w:left="360"/>
        <w:rPr>
          <w:rFonts w:ascii="Calibri" w:cs="Calibri" w:eastAsia="Calibri" w:hAnsi="Calibri"/>
        </w:rPr>
      </w:pPr>
      <w:r w:rsidDel="00000000" w:rsidR="00000000" w:rsidRPr="00000000">
        <w:rPr>
          <w:rFonts w:ascii="Calibri" w:cs="Calibri" w:eastAsia="Calibri" w:hAnsi="Calibri"/>
          <w:sz w:val="20"/>
          <w:szCs w:val="20"/>
          <w:rtl w:val="0"/>
        </w:rPr>
        <w:t xml:space="preserve">Use one primary CTA only: Book a Revenue Diagnostic.</w:t>
      </w:r>
      <w:r w:rsidDel="00000000" w:rsidR="00000000" w:rsidRPr="00000000">
        <w:rPr>
          <w:rtl w:val="0"/>
        </w:rPr>
      </w:r>
    </w:p>
    <w:p w:rsidR="00000000" w:rsidDel="00000000" w:rsidP="00000000" w:rsidRDefault="00000000" w:rsidRPr="00000000" w14:paraId="0000005F">
      <w:pPr>
        <w:numPr>
          <w:ilvl w:val="0"/>
          <w:numId w:val="1"/>
        </w:numPr>
        <w:spacing w:after="0" w:lineRule="auto"/>
        <w:ind w:left="360"/>
        <w:rPr>
          <w:rFonts w:ascii="Calibri" w:cs="Calibri" w:eastAsia="Calibri" w:hAnsi="Calibri"/>
        </w:rPr>
      </w:pPr>
      <w:r w:rsidDel="00000000" w:rsidR="00000000" w:rsidRPr="00000000">
        <w:rPr>
          <w:rFonts w:ascii="Calibri" w:cs="Calibri" w:eastAsia="Calibri" w:hAnsi="Calibri"/>
          <w:sz w:val="20"/>
          <w:szCs w:val="20"/>
          <w:rtl w:val="0"/>
        </w:rPr>
        <w:t xml:space="preserve">Keep the total visible hero copy at or below 45 words. An unused budget is not a reason to add copy.</w:t>
      </w:r>
      <w:r w:rsidDel="00000000" w:rsidR="00000000" w:rsidRPr="00000000">
        <w:rPr>
          <w:rtl w:val="0"/>
        </w:rPr>
      </w:r>
    </w:p>
    <w:p w:rsidR="00000000" w:rsidDel="00000000" w:rsidP="00000000" w:rsidRDefault="00000000" w:rsidRPr="00000000" w14:paraId="00000060">
      <w:pPr>
        <w:numPr>
          <w:ilvl w:val="0"/>
          <w:numId w:val="1"/>
        </w:numPr>
        <w:spacing w:after="0" w:lineRule="auto"/>
        <w:ind w:left="360"/>
        <w:rPr>
          <w:rFonts w:ascii="Calibri" w:cs="Calibri" w:eastAsia="Calibri" w:hAnsi="Calibri"/>
        </w:rPr>
      </w:pPr>
      <w:r w:rsidDel="00000000" w:rsidR="00000000" w:rsidRPr="00000000">
        <w:rPr>
          <w:rFonts w:ascii="Calibri" w:cs="Calibri" w:eastAsia="Calibri" w:hAnsi="Calibri"/>
          <w:sz w:val="20"/>
          <w:szCs w:val="20"/>
          <w:rtl w:val="0"/>
        </w:rPr>
        <w:t xml:space="preserve">If a visual can carry meaning, simplify the copy rather than duplicating the explanation. Prefer a restrained opportunity-to-revenue motif over a labeled feature or framework diagram.</w:t>
      </w:r>
      <w:r w:rsidDel="00000000" w:rsidR="00000000" w:rsidRPr="00000000">
        <w:rPr>
          <w:rtl w:val="0"/>
        </w:rPr>
      </w:r>
    </w:p>
    <w:p w:rsidR="00000000" w:rsidDel="00000000" w:rsidP="00000000" w:rsidRDefault="00000000" w:rsidRPr="00000000" w14:paraId="00000061">
      <w:pPr>
        <w:numPr>
          <w:ilvl w:val="0"/>
          <w:numId w:val="1"/>
        </w:numPr>
        <w:spacing w:after="100" w:lineRule="auto"/>
        <w:ind w:left="360"/>
        <w:rPr>
          <w:rFonts w:ascii="Calibri" w:cs="Calibri" w:eastAsia="Calibri" w:hAnsi="Calibri"/>
        </w:rPr>
      </w:pPr>
      <w:r w:rsidDel="00000000" w:rsidR="00000000" w:rsidRPr="00000000">
        <w:rPr>
          <w:rFonts w:ascii="Calibri" w:cs="Calibri" w:eastAsia="Calibri" w:hAnsi="Calibri"/>
          <w:rtl w:val="0"/>
        </w:rPr>
        <w:t xml:space="preserve">Keep the hero centered across desktop and mobile. Supporting visuals may reflow beneath the core message, but should not shift the headline, supporting copy, and CTA into a competing side-by-side composition.</w:t>
      </w:r>
    </w:p>
    <w:tbl>
      <w:tblPr>
        <w:tblStyle w:val="Table6"/>
        <w:tblW w:w="9936.0" w:type="dxa"/>
        <w:jc w:val="center"/>
        <w:tblLayout w:type="fixed"/>
        <w:tblLook w:val="0400"/>
      </w:tblPr>
      <w:tblGrid>
        <w:gridCol w:w="9936"/>
        <w:tblGridChange w:id="0">
          <w:tblGrid>
            <w:gridCol w:w="9936"/>
          </w:tblGrid>
        </w:tblGridChange>
      </w:tblGrid>
      <w:tr>
        <w:trPr>
          <w:cantSplit w:val="0"/>
          <w:tblHeader w:val="0"/>
        </w:trPr>
        <w:tc>
          <w:tcPr>
            <w:tcBorders>
              <w:top w:color="841617" w:space="0" w:sz="10" w:val="single"/>
              <w:left w:color="841617" w:space="0" w:sz="10" w:val="single"/>
              <w:bottom w:color="841617" w:space="0" w:sz="10" w:val="single"/>
              <w:right w:color="841617" w:space="0" w:sz="10" w:val="single"/>
            </w:tcBorders>
            <w:shd w:fill="f4eee8" w:val="clear"/>
            <w:tcMar>
              <w:top w:w="170.0" w:type="dxa"/>
              <w:bottom w:w="170.0" w:type="dxa"/>
            </w:tcMa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PROPOSED DIRECTION - PENDING APPROVAL</w:t>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Turn more of your existing opportunity into revenue.</w:t>
            </w: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Use as the leading recommendation for stakeholder review. It is the strongest current fit because it is outcome-led, economically grounded, solution-agnostic, and naturally supports the Revenue Diagnostic CTA. Final headline and support copy remain pending explicit approval.</w:t>
            </w:r>
          </w:p>
        </w:tc>
      </w:tr>
    </w:tbl>
    <w:p w:rsidR="00000000" w:rsidDel="00000000" w:rsidP="00000000" w:rsidRDefault="00000000" w:rsidRPr="00000000" w14:paraId="00000065">
      <w:pPr>
        <w:widowControl w:val="0"/>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841617"/>
          <w:sz w:val="20"/>
          <w:szCs w:val="20"/>
        </w:rPr>
      </w:pPr>
      <w:r w:rsidDel="00000000" w:rsidR="00000000" w:rsidRPr="00000000">
        <w:rPr>
          <w:rtl w:val="0"/>
        </w:rPr>
      </w:r>
    </w:p>
    <w:sectPr>
      <w:footerReference r:id="rId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b2b2b"/>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b665f"/>
        <w:sz w:val="16"/>
        <w:szCs w:val="16"/>
        <w:u w:val="none"/>
        <w:shd w:fill="auto" w:val="clear"/>
        <w:vertAlign w:val="baseline"/>
        <w:rtl w:val="0"/>
      </w:rPr>
      <w:t xml:space="preserve">GROWTHWORKS SYSTEMS  |  WEBSITE ENHANCEMENT  |  HERO COPY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b2b2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841617"/>
      <w:sz w:val="38"/>
      <w:szCs w:val="3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b2b2b"/>
      <w:sz w:val="27"/>
      <w:szCs w:val="27"/>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841617"/>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