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0"/>
          <w:szCs w:val="20"/>
          <w:rtl w:val="0"/>
        </w:rPr>
        <w:t xml:space="preserve">GROWTHWORKS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54"/>
          <w:szCs w:val="54"/>
          <w:rtl w:val="0"/>
        </w:rPr>
        <w:t xml:space="preserve">Homepage Problem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54"/>
          <w:szCs w:val="54"/>
          <w:rtl w:val="0"/>
        </w:rPr>
        <w:t xml:space="preserve">Card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66615a"/>
          <w:sz w:val="24"/>
          <w:szCs w:val="24"/>
          <w:rtl w:val="0"/>
        </w:rPr>
        <w:t xml:space="preserve">Recognition-first copy specification for Section 03 of the revised homepage</w:t>
      </w: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15.0" w:type="dxa"/>
        <w:tblLayout w:type="fixed"/>
        <w:tblLook w:val="0400"/>
      </w:tblPr>
      <w:tblGrid>
        <w:gridCol w:w="1905"/>
        <w:gridCol w:w="8265"/>
        <w:tblGridChange w:id="0">
          <w:tblGrid>
            <w:gridCol w:w="1905"/>
            <w:gridCol w:w="8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efe9d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GrowthWorks Systems - Website Enhancement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efe9d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03 - Problem Recognition - 4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efe9d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Narrative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Recognizable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efe9d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Copy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100 visible words across the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efe9d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Proposed copy direction for stakeholder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before="4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Governing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4"/>
          <w:szCs w:val="34"/>
          <w:rtl w:val="0"/>
        </w:rPr>
        <w:t xml:space="preserve">Recognition before explanation. Show the leak before teaching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1. RECOMMENDED CARD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6"/>
          <w:szCs w:val="36"/>
          <w:rtl w:val="0"/>
        </w:rPr>
        <w:t xml:space="preserve">Four problems the target buyer should recognize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66615a"/>
          <w:sz w:val="21"/>
          <w:szCs w:val="21"/>
          <w:rtl w:val="0"/>
        </w:rPr>
        <w:t xml:space="preserve">The cards are intentionally short, problem-led, and economically relevant. They identify visible symptoms and consequences without introducing tools, methodology, or Revenue Infrastructure language.</w:t>
      </w: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1c5" w:space="0" w:sz="10" w:val="single"/>
              <w:left w:color="d9d1c5" w:space="0" w:sz="10" w:val="single"/>
              <w:bottom w:color="d9d1c5" w:space="0" w:sz="10" w:val="single"/>
              <w:right w:color="d9d1c5" w:space="0" w:sz="10" w:val="single"/>
            </w:tcBorders>
            <w:shd w:fill="f8f5ec" w:val="clear"/>
            <w:tcMar>
              <w:top w:w="220.0" w:type="dxa"/>
              <w:bottom w:w="2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32"/>
                <w:szCs w:val="32"/>
                <w:rtl w:val="0"/>
              </w:rPr>
              <w:t xml:space="preserve">Hard to find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Buyers are already looking for what you do, but competitors are getting found, considered, or recommended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1c5" w:space="0" w:sz="10" w:val="single"/>
              <w:left w:color="d9d1c5" w:space="0" w:sz="10" w:val="single"/>
              <w:bottom w:color="d9d1c5" w:space="0" w:sz="10" w:val="single"/>
              <w:right w:color="d9d1c5" w:space="0" w:sz="10" w:val="single"/>
            </w:tcBorders>
            <w:shd w:fill="ffffff" w:val="clear"/>
            <w:tcMar>
              <w:top w:w="220.0" w:type="dxa"/>
              <w:bottom w:w="2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32"/>
                <w:szCs w:val="32"/>
                <w:rtl w:val="0"/>
              </w:rPr>
              <w:t xml:space="preserve">Slow to respond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Qualified inquiries come in, but delayed or inconsistent response gives high-intent prospects time to move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1c5" w:space="0" w:sz="10" w:val="single"/>
              <w:left w:color="d9d1c5" w:space="0" w:sz="10" w:val="single"/>
              <w:bottom w:color="d9d1c5" w:space="0" w:sz="10" w:val="single"/>
              <w:right w:color="d9d1c5" w:space="0" w:sz="10" w:val="single"/>
            </w:tcBorders>
            <w:shd w:fill="ffffff" w:val="clear"/>
            <w:tcMar>
              <w:top w:w="220.0" w:type="dxa"/>
              <w:bottom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32"/>
                <w:szCs w:val="32"/>
                <w:rtl w:val="0"/>
              </w:rPr>
              <w:t xml:space="preserve">Leads falling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Good opportunities enter the business, then stall or disappear because follow-up and next steps are inconsistent.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1c5" w:space="0" w:sz="10" w:val="single"/>
              <w:left w:color="d9d1c5" w:space="0" w:sz="10" w:val="single"/>
              <w:bottom w:color="d9d1c5" w:space="0" w:sz="10" w:val="single"/>
              <w:right w:color="d9d1c5" w:space="0" w:sz="10" w:val="single"/>
            </w:tcBorders>
            <w:shd w:fill="f8f5ec" w:val="clear"/>
            <w:tcMar>
              <w:top w:w="220.0" w:type="dxa"/>
              <w:bottom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b8863b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32"/>
                <w:szCs w:val="32"/>
                <w:rtl w:val="0"/>
              </w:rPr>
              <w:t xml:space="preserve">Unpredictable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Revenue moves, but you cannot clearly see what is driving it, where opportunity is leaking, or what to improve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6615a"/>
          <w:sz w:val="19"/>
          <w:szCs w:val="19"/>
          <w:rtl w:val="0"/>
        </w:rPr>
        <w:t xml:space="preserve">Recommended implementation: four equal cards, one minimal icon each, no body paragraph beneath the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2. ALIGNMENT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6"/>
          <w:szCs w:val="36"/>
          <w:rtl w:val="0"/>
        </w:rPr>
        <w:t xml:space="preserve">Why this set fits the approved homepage sequence</w:t>
      </w:r>
      <w:r w:rsidDel="00000000" w:rsidR="00000000" w:rsidRPr="00000000">
        <w:rPr>
          <w:rtl w:val="0"/>
        </w:rPr>
      </w:r>
    </w:p>
    <w:tbl>
      <w:tblPr>
        <w:tblStyle w:val="Table3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41617" w:space="0" w:sz="8" w:val="single"/>
              <w:left w:color="841617" w:space="0" w:sz="8" w:val="single"/>
              <w:bottom w:color="841617" w:space="0" w:sz="8" w:val="single"/>
              <w:right w:color="841617" w:space="0" w:sz="8" w:val="single"/>
            </w:tcBorders>
            <w:shd w:fill="84161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41617" w:space="0" w:sz="8" w:val="single"/>
              <w:left w:color="841617" w:space="0" w:sz="8" w:val="single"/>
              <w:bottom w:color="841617" w:space="0" w:sz="8" w:val="single"/>
              <w:right w:color="841617" w:space="0" w:sz="8" w:val="single"/>
            </w:tcBorders>
            <w:shd w:fill="84161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41617" w:space="0" w:sz="8" w:val="single"/>
              <w:left w:color="841617" w:space="0" w:sz="8" w:val="single"/>
              <w:bottom w:color="841617" w:space="0" w:sz="8" w:val="single"/>
              <w:right w:color="841617" w:space="0" w:sz="8" w:val="single"/>
            </w:tcBorders>
            <w:shd w:fill="84161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Immediate self-recognition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Uses observable business symptoms rather than abstract marketing or technology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Economic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Each card implies lost consideration, lost intent, lost opportunity, or poor visibility into revenue.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No premature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No tools, services, frameworks, process steps, or category definitions appear.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Hero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Directly answers the question created by the hero: what gaps are preventing existing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opportunities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 from producing full value?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Section 04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The problems naturally set up the next beat: stronger discoverability, faster response, more reliable conversion, and clearer revenue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Scan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Four short headings and one sentence per card can be understood without explanatory prose.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Word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8" w:val="single"/>
              <w:left w:color="d8d1c4" w:space="0" w:sz="8" w:val="single"/>
              <w:bottom w:color="d8d1c4" w:space="0" w:sz="8" w:val="single"/>
              <w:right w:color="d8d1c4" w:space="0" w:sz="8" w:val="single"/>
            </w:tcBorders>
            <w:shd w:fill="f8f5e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Comfortably below the 100-word Section 03 ceiling.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0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Narrative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26"/>
          <w:szCs w:val="26"/>
          <w:rtl w:val="0"/>
        </w:rPr>
        <w:t xml:space="preserve">Hero: “valuable opportunity exists”  →  Problem Recognition: “here is where it is being lost”  →  Four Business Outcomes: “here is what improves.”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3. COPY AND IMPLEMENTATION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36"/>
          <w:szCs w:val="36"/>
          <w:rtl w:val="0"/>
        </w:rPr>
        <w:t xml:space="preserve">Keep Section 03 focused on recognition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Use the four approved problem territories only: hard to find, slow to respond, leads falling through, unpredictable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Keep one short heading and one sentence per card. No explanatory paragraph, secondary bullets, or mini case studies.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Write from the buyer’s observable business reality. Avoid technical labels such as SEO, CRM, automation, attribution stack, AI receptionist, or workflow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Do not introduce Revenue Infrastructure, Diagnose / Design / Implement / Optimize, or a detailed revenue-leakage framework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Keep the language commercially meaningful without making unsupported ROI claims or guarantees.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Avoid repeating the long fragmented-tools argument. The dedicated Fragmented vs Connected visual carries that comparison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Do not solve the problem inside the card. Section 04 owns the positive outcome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Rule="auto"/>
        <w:ind w:left="259" w:hanging="1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886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b2b2b"/>
          <w:sz w:val="21"/>
          <w:szCs w:val="21"/>
          <w:rtl w:val="0"/>
        </w:rPr>
        <w:t xml:space="preserve">Use restrained icons and equal card weight so no single problem appears to be the universal diagnosis for every visitor.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8"/>
          <w:szCs w:val="18"/>
          <w:rtl w:val="0"/>
        </w:rPr>
        <w:t xml:space="preserve">Status for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2"/>
          <w:szCs w:val="22"/>
          <w:rtl w:val="0"/>
        </w:rPr>
        <w:t xml:space="preserve">PROPOSED 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41617"/>
          <w:rtl w:val="0"/>
        </w:rPr>
        <w:t xml:space="preserve">CLAYTON’S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2"/>
          <w:szCs w:val="22"/>
          <w:rtl w:val="0"/>
        </w:rPr>
        <w:t xml:space="preserve">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66615a"/>
          <w:sz w:val="20"/>
          <w:szCs w:val="20"/>
          <w:rtl w:val="0"/>
        </w:rPr>
        <w:t xml:space="preserve">Once approved, this four-card set becomes the copy source for Section 03 wireframing and Manus implementation.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64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66615a"/>
        <w:sz w:val="16"/>
        <w:szCs w:val="16"/>
        <w:u w:val="none"/>
        <w:shd w:fill="auto" w:val="clear"/>
        <w:vertAlign w:val="baseline"/>
        <w:rtl w:val="0"/>
      </w:rPr>
      <w:t xml:space="preserve">GROWTHWORKS SYSTEMS  |  WEBSITE ENHANCEMENT  |  PROBLEM RECOGNITION COPY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