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259" w:lineRule="auto"/>
        <w:rPr/>
      </w:pPr>
      <w:r w:rsidDel="00000000" w:rsidR="00000000" w:rsidRPr="00000000">
        <w:rPr>
          <w:rFonts w:ascii="Calibri" w:cs="Calibri" w:eastAsia="Calibri" w:hAnsi="Calibri"/>
          <w:b w:val="1"/>
          <w:bCs w:val="1"/>
          <w:i w:val="0"/>
          <w:iCs w:val="0"/>
          <w:color w:val="841617"/>
          <w:sz w:val="22"/>
          <w:szCs w:val="22"/>
          <w:rtl w:val="0"/>
        </w:rPr>
        <w:t xml:space="preserve">GROWTHWORKS SYSTEMS</w:t>
      </w:r>
      <w:r w:rsidDel="00000000" w:rsidR="00000000" w:rsidRPr="00000000">
        <w:rPr>
          <w:rtl w:val="0"/>
        </w:rPr>
      </w:r>
    </w:p>
    <w:p w:rsidR="00000000" w:rsidDel="00000000" w:rsidP="00000000" w:rsidRDefault="00000000" w:rsidRPr="00000000" w14:paraId="00000002">
      <w:pPr>
        <w:spacing w:after="60" w:before="0" w:line="259" w:lineRule="auto"/>
        <w:rPr/>
      </w:pPr>
      <w:r w:rsidDel="00000000" w:rsidR="00000000" w:rsidRPr="00000000">
        <w:rPr>
          <w:rFonts w:ascii="Calibri" w:cs="Calibri" w:eastAsia="Calibri" w:hAnsi="Calibri"/>
          <w:b w:val="1"/>
          <w:bCs w:val="1"/>
          <w:i w:val="0"/>
          <w:iCs w:val="0"/>
          <w:color w:val="2b2b2b"/>
          <w:sz w:val="54"/>
          <w:szCs w:val="54"/>
          <w:rtl w:val="0"/>
        </w:rPr>
        <w:t xml:space="preserve">Homepage Revenue Diagnostic CTA</w:t>
      </w:r>
      <w:r w:rsidDel="00000000" w:rsidR="00000000" w:rsidRPr="00000000">
        <w:rPr>
          <w:rtl w:val="0"/>
        </w:rPr>
      </w:r>
    </w:p>
    <w:p w:rsidR="00000000" w:rsidDel="00000000" w:rsidP="00000000" w:rsidRDefault="00000000" w:rsidRPr="00000000" w14:paraId="00000003">
      <w:pPr>
        <w:spacing w:after="280" w:before="0" w:line="259" w:lineRule="auto"/>
        <w:rPr/>
      </w:pPr>
      <w:r w:rsidDel="00000000" w:rsidR="00000000" w:rsidRPr="00000000">
        <w:rPr>
          <w:rFonts w:ascii="Calibri" w:cs="Calibri" w:eastAsia="Calibri" w:hAnsi="Calibri"/>
          <w:b w:val="0"/>
          <w:bCs w:val="0"/>
          <w:i w:val="0"/>
          <w:iCs w:val="0"/>
          <w:color w:val="6b6b6b"/>
          <w:sz w:val="24"/>
          <w:szCs w:val="24"/>
          <w:rtl w:val="0"/>
        </w:rPr>
        <w:t xml:space="preserve">Closing conversion copy specification for Section 11 of the revised homepage</w:t>
      </w:r>
      <w:r w:rsidDel="00000000" w:rsidR="00000000" w:rsidRPr="00000000">
        <w:rPr>
          <w:rtl w:val="0"/>
        </w:rPr>
      </w:r>
    </w:p>
    <w:tbl>
      <w:tblPr>
        <w:tblStyle w:val="Table1"/>
        <w:tblW w:w="10224.0" w:type="dxa"/>
        <w:jc w:val="center"/>
        <w:tblLayout w:type="fixed"/>
        <w:tblLook w:val="0400"/>
      </w:tblPr>
      <w:tblGrid>
        <w:gridCol w:w="5112"/>
        <w:gridCol w:w="5112"/>
        <w:tblGridChange w:id="0">
          <w:tblGrid>
            <w:gridCol w:w="5112"/>
            <w:gridCol w:w="5112"/>
          </w:tblGrid>
        </w:tblGridChange>
      </w:tblGrid>
      <w:tr>
        <w:trPr>
          <w:cantSplit w:val="0"/>
          <w:tblHeader w:val="0"/>
        </w:trPr>
        <w:tc>
          <w:tcPr>
            <w:shd w:fill="efeae1" w:val="clear"/>
            <w:tcMar>
              <w:top w:w="120.0" w:type="dxa"/>
              <w:bottom w:w="120.0" w:type="dxa"/>
            </w:tcMar>
            <w:vAlign w:val="center"/>
          </w:tcPr>
          <w:p w:rsidR="00000000" w:rsidDel="00000000" w:rsidP="00000000" w:rsidRDefault="00000000" w:rsidRPr="00000000" w14:paraId="00000004">
            <w:pPr>
              <w:spacing w:after="0" w:line="252.00000000000003" w:lineRule="auto"/>
              <w:jc w:val="left"/>
              <w:rPr/>
            </w:pPr>
            <w:r w:rsidDel="00000000" w:rsidR="00000000" w:rsidRPr="00000000">
              <w:rPr>
                <w:rFonts w:ascii="Calibri" w:cs="Calibri" w:eastAsia="Calibri" w:hAnsi="Calibri"/>
                <w:b w:val="1"/>
                <w:bCs w:val="1"/>
                <w:i w:val="0"/>
                <w:iCs w:val="0"/>
                <w:color w:val="841617"/>
                <w:sz w:val="19"/>
                <w:szCs w:val="19"/>
                <w:rtl w:val="0"/>
              </w:rPr>
              <w:t xml:space="preserve">Prepared for</w:t>
            </w:r>
            <w:r w:rsidDel="00000000" w:rsidR="00000000" w:rsidRPr="00000000">
              <w:rPr>
                <w:rtl w:val="0"/>
              </w:rPr>
            </w:r>
          </w:p>
        </w:tc>
        <w:tc>
          <w:tcPr>
            <w:shd w:fill="ffffff" w:val="clear"/>
            <w:tcMar>
              <w:top w:w="120.0" w:type="dxa"/>
              <w:bottom w:w="120.0" w:type="dxa"/>
            </w:tcMar>
            <w:vAlign w:val="center"/>
          </w:tcPr>
          <w:p w:rsidR="00000000" w:rsidDel="00000000" w:rsidP="00000000" w:rsidRDefault="00000000" w:rsidRPr="00000000" w14:paraId="00000005">
            <w:pPr>
              <w:spacing w:after="0" w:line="252.00000000000003" w:lineRule="auto"/>
              <w:jc w:val="left"/>
              <w:rPr/>
            </w:pPr>
            <w:r w:rsidDel="00000000" w:rsidR="00000000" w:rsidRPr="00000000">
              <w:rPr>
                <w:rFonts w:ascii="Calibri" w:cs="Calibri" w:eastAsia="Calibri" w:hAnsi="Calibri"/>
                <w:b w:val="0"/>
                <w:bCs w:val="0"/>
                <w:i w:val="0"/>
                <w:iCs w:val="0"/>
                <w:color w:val="2b2b2b"/>
                <w:sz w:val="20"/>
                <w:szCs w:val="20"/>
                <w:rtl w:val="0"/>
              </w:rPr>
              <w:t xml:space="preserve">GrowthWorks Systems - Website Enhancement Project</w:t>
            </w:r>
            <w:r w:rsidDel="00000000" w:rsidR="00000000" w:rsidRPr="00000000">
              <w:rPr>
                <w:rtl w:val="0"/>
              </w:rPr>
            </w:r>
          </w:p>
        </w:tc>
      </w:tr>
      <w:tr>
        <w:trPr>
          <w:cantSplit w:val="0"/>
          <w:tblHeader w:val="0"/>
        </w:trPr>
        <w:tc>
          <w:tcPr>
            <w:shd w:fill="efeae1" w:val="clear"/>
            <w:tcMar>
              <w:top w:w="120.0" w:type="dxa"/>
              <w:bottom w:w="120.0" w:type="dxa"/>
            </w:tcMar>
            <w:vAlign w:val="center"/>
          </w:tcPr>
          <w:p w:rsidR="00000000" w:rsidDel="00000000" w:rsidP="00000000" w:rsidRDefault="00000000" w:rsidRPr="00000000" w14:paraId="00000006">
            <w:pPr>
              <w:spacing w:after="0" w:line="252.00000000000003" w:lineRule="auto"/>
              <w:jc w:val="left"/>
              <w:rPr/>
            </w:pPr>
            <w:r w:rsidDel="00000000" w:rsidR="00000000" w:rsidRPr="00000000">
              <w:rPr>
                <w:rFonts w:ascii="Calibri" w:cs="Calibri" w:eastAsia="Calibri" w:hAnsi="Calibri"/>
                <w:b w:val="1"/>
                <w:bCs w:val="1"/>
                <w:i w:val="0"/>
                <w:iCs w:val="0"/>
                <w:color w:val="841617"/>
                <w:sz w:val="19"/>
                <w:szCs w:val="19"/>
                <w:rtl w:val="0"/>
              </w:rPr>
              <w:t xml:space="preserve">Section</w:t>
            </w:r>
            <w:r w:rsidDel="00000000" w:rsidR="00000000" w:rsidRPr="00000000">
              <w:rPr>
                <w:rtl w:val="0"/>
              </w:rPr>
            </w:r>
          </w:p>
        </w:tc>
        <w:tc>
          <w:tcPr>
            <w:shd w:fill="ffffff" w:val="clear"/>
            <w:tcMar>
              <w:top w:w="120.0" w:type="dxa"/>
              <w:bottom w:w="120.0" w:type="dxa"/>
            </w:tcMar>
            <w:vAlign w:val="center"/>
          </w:tcPr>
          <w:p w:rsidR="00000000" w:rsidDel="00000000" w:rsidP="00000000" w:rsidRDefault="00000000" w:rsidRPr="00000000" w14:paraId="00000007">
            <w:pPr>
              <w:spacing w:after="0" w:line="252.00000000000003" w:lineRule="auto"/>
              <w:jc w:val="left"/>
              <w:rPr/>
            </w:pPr>
            <w:r w:rsidDel="00000000" w:rsidR="00000000" w:rsidRPr="00000000">
              <w:rPr>
                <w:rFonts w:ascii="Calibri" w:cs="Calibri" w:eastAsia="Calibri" w:hAnsi="Calibri"/>
                <w:b w:val="0"/>
                <w:bCs w:val="0"/>
                <w:i w:val="0"/>
                <w:iCs w:val="0"/>
                <w:color w:val="2b2b2b"/>
                <w:sz w:val="20"/>
                <w:szCs w:val="20"/>
                <w:rtl w:val="0"/>
              </w:rPr>
              <w:t xml:space="preserve">11 - Revenue Diagnostic CTA</w:t>
            </w:r>
            <w:r w:rsidDel="00000000" w:rsidR="00000000" w:rsidRPr="00000000">
              <w:rPr>
                <w:rtl w:val="0"/>
              </w:rPr>
            </w:r>
          </w:p>
        </w:tc>
      </w:tr>
      <w:tr>
        <w:trPr>
          <w:cantSplit w:val="0"/>
          <w:tblHeader w:val="0"/>
        </w:trPr>
        <w:tc>
          <w:tcPr>
            <w:shd w:fill="efeae1" w:val="clear"/>
            <w:tcMar>
              <w:top w:w="120.0" w:type="dxa"/>
              <w:bottom w:w="120.0" w:type="dxa"/>
            </w:tcMar>
            <w:vAlign w:val="center"/>
          </w:tcPr>
          <w:p w:rsidR="00000000" w:rsidDel="00000000" w:rsidP="00000000" w:rsidRDefault="00000000" w:rsidRPr="00000000" w14:paraId="00000008">
            <w:pPr>
              <w:spacing w:after="0" w:line="252.00000000000003" w:lineRule="auto"/>
              <w:jc w:val="left"/>
              <w:rPr/>
            </w:pPr>
            <w:r w:rsidDel="00000000" w:rsidR="00000000" w:rsidRPr="00000000">
              <w:rPr>
                <w:rFonts w:ascii="Calibri" w:cs="Calibri" w:eastAsia="Calibri" w:hAnsi="Calibri"/>
                <w:b w:val="1"/>
                <w:bCs w:val="1"/>
                <w:i w:val="0"/>
                <w:iCs w:val="0"/>
                <w:color w:val="841617"/>
                <w:sz w:val="19"/>
                <w:szCs w:val="19"/>
                <w:rtl w:val="0"/>
              </w:rPr>
              <w:t xml:space="preserve">Narrative beat</w:t>
            </w:r>
            <w:r w:rsidDel="00000000" w:rsidR="00000000" w:rsidRPr="00000000">
              <w:rPr>
                <w:rtl w:val="0"/>
              </w:rPr>
            </w:r>
          </w:p>
        </w:tc>
        <w:tc>
          <w:tcPr>
            <w:shd w:fill="ffffff" w:val="clear"/>
            <w:tcMar>
              <w:top w:w="120.0" w:type="dxa"/>
              <w:bottom w:w="120.0" w:type="dxa"/>
            </w:tcMar>
            <w:vAlign w:val="center"/>
          </w:tcPr>
          <w:p w:rsidR="00000000" w:rsidDel="00000000" w:rsidP="00000000" w:rsidRDefault="00000000" w:rsidRPr="00000000" w14:paraId="00000009">
            <w:pPr>
              <w:spacing w:after="0" w:line="252.00000000000003" w:lineRule="auto"/>
              <w:jc w:val="left"/>
              <w:rPr/>
            </w:pPr>
            <w:r w:rsidDel="00000000" w:rsidR="00000000" w:rsidRPr="00000000">
              <w:rPr>
                <w:rFonts w:ascii="Calibri" w:cs="Calibri" w:eastAsia="Calibri" w:hAnsi="Calibri"/>
                <w:rtl w:val="0"/>
              </w:rPr>
              <w:t xml:space="preserve">Revenue Infrastructure Category to Action</w:t>
            </w:r>
            <w:r w:rsidDel="00000000" w:rsidR="00000000" w:rsidRPr="00000000">
              <w:rPr>
                <w:rtl w:val="0"/>
              </w:rPr>
            </w:r>
          </w:p>
        </w:tc>
      </w:tr>
      <w:tr>
        <w:trPr>
          <w:cantSplit w:val="0"/>
          <w:tblHeader w:val="0"/>
        </w:trPr>
        <w:tc>
          <w:tcPr>
            <w:shd w:fill="efeae1" w:val="clear"/>
            <w:tcMar>
              <w:top w:w="120.0" w:type="dxa"/>
              <w:bottom w:w="120.0" w:type="dxa"/>
            </w:tcMar>
            <w:vAlign w:val="center"/>
          </w:tcPr>
          <w:p w:rsidR="00000000" w:rsidDel="00000000" w:rsidP="00000000" w:rsidRDefault="00000000" w:rsidRPr="00000000" w14:paraId="0000000A">
            <w:pPr>
              <w:spacing w:after="0" w:line="252.00000000000003" w:lineRule="auto"/>
              <w:jc w:val="left"/>
              <w:rPr/>
            </w:pPr>
            <w:r w:rsidDel="00000000" w:rsidR="00000000" w:rsidRPr="00000000">
              <w:rPr>
                <w:rFonts w:ascii="Calibri" w:cs="Calibri" w:eastAsia="Calibri" w:hAnsi="Calibri"/>
                <w:b w:val="1"/>
                <w:bCs w:val="1"/>
                <w:i w:val="0"/>
                <w:iCs w:val="0"/>
                <w:color w:val="841617"/>
                <w:sz w:val="19"/>
                <w:szCs w:val="19"/>
                <w:rtl w:val="0"/>
              </w:rPr>
              <w:t xml:space="preserve">Copy ceiling</w:t>
            </w:r>
            <w:r w:rsidDel="00000000" w:rsidR="00000000" w:rsidRPr="00000000">
              <w:rPr>
                <w:rtl w:val="0"/>
              </w:rPr>
            </w:r>
          </w:p>
        </w:tc>
        <w:tc>
          <w:tcPr>
            <w:shd w:fill="ffffff" w:val="clear"/>
            <w:tcMar>
              <w:top w:w="120.0" w:type="dxa"/>
              <w:bottom w:w="120.0" w:type="dxa"/>
            </w:tcMar>
            <w:vAlign w:val="center"/>
          </w:tcPr>
          <w:p w:rsidR="00000000" w:rsidDel="00000000" w:rsidP="00000000" w:rsidRDefault="00000000" w:rsidRPr="00000000" w14:paraId="0000000B">
            <w:pPr>
              <w:spacing w:after="0" w:line="252.00000000000003" w:lineRule="auto"/>
              <w:jc w:val="left"/>
              <w:rPr/>
            </w:pPr>
            <w:r w:rsidDel="00000000" w:rsidR="00000000" w:rsidRPr="00000000">
              <w:rPr>
                <w:rFonts w:ascii="Calibri" w:cs="Calibri" w:eastAsia="Calibri" w:hAnsi="Calibri"/>
                <w:b w:val="0"/>
                <w:bCs w:val="0"/>
                <w:i w:val="0"/>
                <w:iCs w:val="0"/>
                <w:color w:val="2b2b2b"/>
                <w:sz w:val="20"/>
                <w:szCs w:val="20"/>
                <w:rtl w:val="0"/>
              </w:rPr>
              <w:t xml:space="preserve">90 visible words maximum</w:t>
            </w:r>
            <w:r w:rsidDel="00000000" w:rsidR="00000000" w:rsidRPr="00000000">
              <w:rPr>
                <w:rtl w:val="0"/>
              </w:rPr>
            </w:r>
          </w:p>
        </w:tc>
      </w:tr>
      <w:tr>
        <w:trPr>
          <w:cantSplit w:val="0"/>
          <w:tblHeader w:val="0"/>
        </w:trPr>
        <w:tc>
          <w:tcPr>
            <w:shd w:fill="efeae1" w:val="clear"/>
            <w:tcMar>
              <w:top w:w="120.0" w:type="dxa"/>
              <w:bottom w:w="120.0" w:type="dxa"/>
            </w:tcMar>
            <w:vAlign w:val="center"/>
          </w:tcPr>
          <w:p w:rsidR="00000000" w:rsidDel="00000000" w:rsidP="00000000" w:rsidRDefault="00000000" w:rsidRPr="00000000" w14:paraId="0000000C">
            <w:pPr>
              <w:spacing w:after="0" w:line="252.00000000000003" w:lineRule="auto"/>
              <w:jc w:val="left"/>
              <w:rPr/>
            </w:pPr>
            <w:r w:rsidDel="00000000" w:rsidR="00000000" w:rsidRPr="00000000">
              <w:rPr>
                <w:rFonts w:ascii="Calibri" w:cs="Calibri" w:eastAsia="Calibri" w:hAnsi="Calibri"/>
                <w:b w:val="1"/>
                <w:bCs w:val="1"/>
                <w:i w:val="0"/>
                <w:iCs w:val="0"/>
                <w:color w:val="841617"/>
                <w:sz w:val="19"/>
                <w:szCs w:val="19"/>
                <w:rtl w:val="0"/>
              </w:rPr>
              <w:t xml:space="preserve">Status</w:t>
            </w:r>
            <w:r w:rsidDel="00000000" w:rsidR="00000000" w:rsidRPr="00000000">
              <w:rPr>
                <w:rtl w:val="0"/>
              </w:rPr>
            </w:r>
          </w:p>
        </w:tc>
        <w:tc>
          <w:tcPr>
            <w:shd w:fill="ffffff" w:val="clear"/>
            <w:tcMar>
              <w:top w:w="120.0" w:type="dxa"/>
              <w:bottom w:w="120.0" w:type="dxa"/>
            </w:tcMar>
            <w:vAlign w:val="center"/>
          </w:tcPr>
          <w:p w:rsidR="00000000" w:rsidDel="00000000" w:rsidP="00000000" w:rsidRDefault="00000000" w:rsidRPr="00000000" w14:paraId="0000000D">
            <w:pPr>
              <w:spacing w:after="0" w:line="252.00000000000003" w:lineRule="auto"/>
              <w:jc w:val="left"/>
              <w:rPr/>
            </w:pPr>
            <w:r w:rsidDel="00000000" w:rsidR="00000000" w:rsidRPr="00000000">
              <w:rPr>
                <w:rFonts w:ascii="Calibri" w:cs="Calibri" w:eastAsia="Calibri" w:hAnsi="Calibri"/>
                <w:b w:val="0"/>
                <w:bCs w:val="0"/>
                <w:i w:val="0"/>
                <w:iCs w:val="0"/>
                <w:color w:val="2b2b2b"/>
                <w:sz w:val="20"/>
                <w:szCs w:val="20"/>
                <w:rtl w:val="0"/>
              </w:rPr>
              <w:t xml:space="preserve">PROPOSED FOR CLAYTON'S REVIEW</w:t>
            </w:r>
            <w:r w:rsidDel="00000000" w:rsidR="00000000" w:rsidRPr="00000000">
              <w:rPr>
                <w:rtl w:val="0"/>
              </w:rPr>
            </w:r>
          </w:p>
        </w:tc>
      </w:tr>
    </w:tbl>
    <w:p w:rsidR="00000000" w:rsidDel="00000000" w:rsidP="00000000" w:rsidRDefault="00000000" w:rsidRPr="00000000" w14:paraId="0000000E">
      <w:pPr>
        <w:spacing w:after="60" w:before="0" w:line="259" w:lineRule="auto"/>
        <w:rPr/>
      </w:pPr>
      <w:r w:rsidDel="00000000" w:rsidR="00000000" w:rsidRPr="00000000">
        <w:rPr>
          <w:rtl w:val="0"/>
        </w:rPr>
      </w:r>
    </w:p>
    <w:p w:rsidR="00000000" w:rsidDel="00000000" w:rsidP="00000000" w:rsidRDefault="00000000" w:rsidRPr="00000000" w14:paraId="0000000F">
      <w:pPr>
        <w:spacing w:after="80" w:before="0" w:line="259" w:lineRule="auto"/>
        <w:rPr/>
      </w:pPr>
      <w:r w:rsidDel="00000000" w:rsidR="00000000" w:rsidRPr="00000000">
        <w:rPr>
          <w:rFonts w:ascii="Calibri" w:cs="Calibri" w:eastAsia="Calibri" w:hAnsi="Calibri"/>
          <w:b w:val="1"/>
          <w:bCs w:val="1"/>
          <w:i w:val="0"/>
          <w:iCs w:val="0"/>
          <w:color w:val="841617"/>
          <w:sz w:val="20"/>
          <w:szCs w:val="20"/>
          <w:rtl w:val="0"/>
        </w:rPr>
        <w:t xml:space="preserve">Governing principle</w:t>
      </w:r>
      <w:r w:rsidDel="00000000" w:rsidR="00000000" w:rsidRPr="00000000">
        <w:rPr>
          <w:rtl w:val="0"/>
        </w:rPr>
      </w:r>
    </w:p>
    <w:tbl>
      <w:tblPr>
        <w:tblStyle w:val="Table2"/>
        <w:tblW w:w="10224.0" w:type="dxa"/>
        <w:jc w:val="center"/>
        <w:tblLayout w:type="fixed"/>
        <w:tblLook w:val="0400"/>
      </w:tblPr>
      <w:tblGrid>
        <w:gridCol w:w="10224"/>
        <w:tblGridChange w:id="0">
          <w:tblGrid>
            <w:gridCol w:w="10224"/>
          </w:tblGrid>
        </w:tblGridChange>
      </w:tblGrid>
      <w:tr>
        <w:trPr>
          <w:cantSplit w:val="0"/>
          <w:tblHeader w:val="0"/>
        </w:trPr>
        <w:tc>
          <w:tcPr>
            <w:shd w:fill="f8f5ec" w:val="clear"/>
            <w:tcMar>
              <w:top w:w="120.0" w:type="dxa"/>
              <w:bottom w:w="120.0" w:type="dxa"/>
            </w:tcMar>
            <w:vAlign w:val="center"/>
          </w:tcPr>
          <w:p w:rsidR="00000000" w:rsidDel="00000000" w:rsidP="00000000" w:rsidRDefault="00000000" w:rsidRPr="00000000" w14:paraId="00000010">
            <w:pPr>
              <w:spacing w:after="0" w:line="252.00000000000003" w:lineRule="auto"/>
              <w:jc w:val="left"/>
              <w:rPr/>
            </w:pPr>
            <w:r w:rsidDel="00000000" w:rsidR="00000000" w:rsidRPr="00000000">
              <w:rPr>
                <w:rFonts w:ascii="Calibri" w:cs="Calibri" w:eastAsia="Calibri" w:hAnsi="Calibri"/>
                <w:b w:val="1"/>
                <w:bCs w:val="1"/>
                <w:i w:val="0"/>
                <w:iCs w:val="0"/>
                <w:color w:val="2b2b2b"/>
                <w:sz w:val="24"/>
                <w:szCs w:val="24"/>
                <w:rtl w:val="0"/>
              </w:rPr>
              <w:t xml:space="preserve">Close the story with one clear conclusion: name the connected system briefly, show what the Revenue Diagnostic is for, and give the visitor one next step.</w:t>
            </w:r>
            <w:r w:rsidDel="00000000" w:rsidR="00000000" w:rsidRPr="00000000">
              <w:rPr>
                <w:rtl w:val="0"/>
              </w:rPr>
            </w:r>
          </w:p>
        </w:tc>
      </w:tr>
    </w:tbl>
    <w:p w:rsidR="00000000" w:rsidDel="00000000" w:rsidP="00000000" w:rsidRDefault="00000000" w:rsidRPr="00000000" w14:paraId="00000011">
      <w:pPr>
        <w:spacing w:after="100" w:before="160" w:line="259" w:lineRule="auto"/>
        <w:rPr/>
      </w:pPr>
      <w:r w:rsidDel="00000000" w:rsidR="00000000" w:rsidRPr="00000000">
        <w:rPr>
          <w:rFonts w:ascii="Calibri" w:cs="Calibri" w:eastAsia="Calibri" w:hAnsi="Calibri"/>
          <w:b w:val="0"/>
          <w:bCs w:val="0"/>
          <w:i w:val="0"/>
          <w:iCs w:val="0"/>
          <w:color w:val="2b2b2b"/>
          <w:sz w:val="21"/>
          <w:szCs w:val="21"/>
          <w:rtl w:val="0"/>
        </w:rPr>
        <w:t xml:space="preserve">Section 11 is the homepage close. It should not restart the story, add a second sales pitch, or introduce another path. The Framework owns the full Revenue Infrastructure definition; Contact / Booking owns the complete Revenue Diagnostic experience.</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200" w:before="0" w:line="259" w:lineRule="auto"/>
        <w:rPr/>
      </w:pPr>
      <w:r w:rsidDel="00000000" w:rsidR="00000000" w:rsidRPr="00000000">
        <w:rPr>
          <w:rFonts w:ascii="Calibri" w:cs="Calibri" w:eastAsia="Calibri" w:hAnsi="Calibri"/>
          <w:b w:val="1"/>
          <w:bCs w:val="1"/>
          <w:i w:val="0"/>
          <w:iCs w:val="0"/>
          <w:color w:val="841617"/>
          <w:sz w:val="19"/>
          <w:szCs w:val="19"/>
          <w:rtl w:val="0"/>
        </w:rPr>
        <w:t xml:space="preserve">GROWTHWORKS SYSTEMS | HOMEPAGE COPY SPECIFICATION</w:t>
      </w:r>
      <w:r w:rsidDel="00000000" w:rsidR="00000000" w:rsidRPr="00000000">
        <w:rPr>
          <w:rtl w:val="0"/>
        </w:rPr>
      </w:r>
    </w:p>
    <w:p w:rsidR="00000000" w:rsidDel="00000000" w:rsidP="00000000" w:rsidRDefault="00000000" w:rsidRPr="00000000" w14:paraId="00000014">
      <w:pPr>
        <w:keepNext w:val="1"/>
        <w:spacing w:after="100" w:before="160" w:line="259" w:lineRule="auto"/>
        <w:rPr/>
      </w:pPr>
      <w:r w:rsidDel="00000000" w:rsidR="00000000" w:rsidRPr="00000000">
        <w:rPr>
          <w:rFonts w:ascii="Calibri" w:cs="Calibri" w:eastAsia="Calibri" w:hAnsi="Calibri"/>
          <w:b w:val="1"/>
          <w:bCs w:val="1"/>
          <w:i w:val="0"/>
          <w:iCs w:val="0"/>
          <w:color w:val="841617"/>
          <w:sz w:val="28"/>
          <w:szCs w:val="28"/>
          <w:rtl w:val="0"/>
        </w:rPr>
        <w:t xml:space="preserve">1. Recommended Homepage Copy</w:t>
      </w:r>
      <w:r w:rsidDel="00000000" w:rsidR="00000000" w:rsidRPr="00000000">
        <w:rPr>
          <w:rtl w:val="0"/>
        </w:rPr>
      </w:r>
    </w:p>
    <w:p w:rsidR="00000000" w:rsidDel="00000000" w:rsidP="00000000" w:rsidRDefault="00000000" w:rsidRPr="00000000" w14:paraId="00000015">
      <w:pPr>
        <w:spacing w:after="160" w:before="0" w:line="259" w:lineRule="auto"/>
        <w:rPr/>
      </w:pPr>
      <w:r w:rsidDel="00000000" w:rsidR="00000000" w:rsidRPr="00000000">
        <w:rPr>
          <w:rFonts w:ascii="Calibri" w:cs="Calibri" w:eastAsia="Calibri" w:hAnsi="Calibri"/>
          <w:b w:val="0"/>
          <w:bCs w:val="0"/>
          <w:i w:val="0"/>
          <w:iCs w:val="0"/>
          <w:color w:val="6b6b6b"/>
          <w:sz w:val="19"/>
          <w:szCs w:val="19"/>
          <w:rtl w:val="0"/>
        </w:rPr>
        <w:t xml:space="preserve">A natural conclusion to the story above</w:t>
      </w:r>
      <w:r w:rsidDel="00000000" w:rsidR="00000000" w:rsidRPr="00000000">
        <w:rPr>
          <w:rtl w:val="0"/>
        </w:rPr>
      </w:r>
    </w:p>
    <w:p w:rsidR="00000000" w:rsidDel="00000000" w:rsidP="00000000" w:rsidRDefault="00000000" w:rsidRPr="00000000" w14:paraId="00000016">
      <w:pPr>
        <w:spacing w:after="200" w:before="0" w:line="259" w:lineRule="auto"/>
        <w:rPr/>
      </w:pPr>
      <w:r w:rsidDel="00000000" w:rsidR="00000000" w:rsidRPr="00000000">
        <w:rPr>
          <w:rFonts w:ascii="Calibri" w:cs="Calibri" w:eastAsia="Calibri" w:hAnsi="Calibri"/>
          <w:b w:val="0"/>
          <w:bCs w:val="0"/>
          <w:i w:val="0"/>
          <w:iCs w:val="0"/>
          <w:color w:val="2b2b2b"/>
          <w:sz w:val="21"/>
          <w:szCs w:val="21"/>
          <w:rtl w:val="0"/>
        </w:rPr>
        <w:t xml:space="preserve">The close should connect the category to the business outcome already established on the page, then make the Revenue Diagnostic feel like the logical next step rather than a new offer introduced at the end.</w:t>
      </w:r>
      <w:r w:rsidDel="00000000" w:rsidR="00000000" w:rsidRPr="00000000">
        <w:rPr>
          <w:rtl w:val="0"/>
        </w:rPr>
      </w:r>
    </w:p>
    <w:tbl>
      <w:tblPr>
        <w:tblStyle w:val="Table3"/>
        <w:tblW w:w="10224.0" w:type="dxa"/>
        <w:jc w:val="center"/>
        <w:tblLayout w:type="fixed"/>
        <w:tblLook w:val="0400"/>
      </w:tblPr>
      <w:tblGrid>
        <w:gridCol w:w="10224"/>
        <w:tblGridChange w:id="0">
          <w:tblGrid>
            <w:gridCol w:w="10224"/>
          </w:tblGrid>
        </w:tblGridChange>
      </w:tblGrid>
      <w:tr>
        <w:trPr>
          <w:cantSplit w:val="0"/>
          <w:tblHeader w:val="0"/>
        </w:trPr>
        <w:tc>
          <w:tcPr>
            <w:shd w:fill="f8f5ec" w:val="clear"/>
            <w:tcMar>
              <w:top w:w="260.0" w:type="dxa"/>
              <w:bottom w:w="260.0" w:type="dxa"/>
            </w:tcMar>
          </w:tcPr>
          <w:p w:rsidR="00000000" w:rsidDel="00000000" w:rsidP="00000000" w:rsidRDefault="00000000" w:rsidRPr="00000000" w14:paraId="00000017">
            <w:pPr>
              <w:spacing w:after="160" w:lineRule="auto"/>
              <w:jc w:val="center"/>
              <w:rPr/>
            </w:pPr>
            <w:r w:rsidDel="00000000" w:rsidR="00000000" w:rsidRPr="00000000">
              <w:rPr>
                <w:rFonts w:ascii="Calibri" w:cs="Calibri" w:eastAsia="Calibri" w:hAnsi="Calibri"/>
                <w:b w:val="1"/>
                <w:bCs w:val="1"/>
                <w:i w:val="0"/>
                <w:iCs w:val="0"/>
                <w:color w:val="841617"/>
                <w:sz w:val="20"/>
                <w:szCs w:val="20"/>
                <w:rtl w:val="0"/>
              </w:rPr>
              <w:t xml:space="preserve">REVENUE INFRASTRUCTURE</w:t>
            </w:r>
            <w:r w:rsidDel="00000000" w:rsidR="00000000" w:rsidRPr="00000000">
              <w:rPr>
                <w:rtl w:val="0"/>
              </w:rPr>
            </w:r>
          </w:p>
          <w:p w:rsidR="00000000" w:rsidDel="00000000" w:rsidP="00000000" w:rsidRDefault="00000000" w:rsidRPr="00000000" w14:paraId="00000018">
            <w:pPr>
              <w:spacing w:after="200" w:lineRule="auto"/>
              <w:jc w:val="center"/>
              <w:rPr/>
            </w:pPr>
            <w:r w:rsidDel="00000000" w:rsidR="00000000" w:rsidRPr="00000000">
              <w:rPr>
                <w:rFonts w:ascii="Calibri" w:cs="Calibri" w:eastAsia="Calibri" w:hAnsi="Calibri"/>
                <w:b w:val="1"/>
                <w:bCs w:val="1"/>
                <w:i w:val="0"/>
                <w:iCs w:val="0"/>
                <w:color w:val="2b2b2b"/>
                <w:sz w:val="38"/>
                <w:szCs w:val="38"/>
                <w:rtl w:val="0"/>
              </w:rPr>
              <w:t xml:space="preserve">Connect the system. Find the constraint that matters next.</w:t>
            </w:r>
            <w:r w:rsidDel="00000000" w:rsidR="00000000" w:rsidRPr="00000000">
              <w:rPr>
                <w:rtl w:val="0"/>
              </w:rPr>
            </w:r>
          </w:p>
          <w:p w:rsidR="00000000" w:rsidDel="00000000" w:rsidP="00000000" w:rsidRDefault="00000000" w:rsidRPr="00000000" w14:paraId="00000019">
            <w:pPr>
              <w:spacing w:after="200" w:lineRule="auto"/>
              <w:jc w:val="center"/>
              <w:rPr/>
            </w:pPr>
            <w:r w:rsidDel="00000000" w:rsidR="00000000" w:rsidRPr="00000000">
              <w:rPr>
                <w:sz w:val="22"/>
                <w:szCs w:val="22"/>
                <w:rtl w:val="0"/>
              </w:rPr>
              <w:t xml:space="preserve">Revenue Infrastructure is the connected system behind turning more opportunity into revenue.</w:t>
            </w:r>
            <w:r w:rsidDel="00000000" w:rsidR="00000000" w:rsidRPr="00000000">
              <w:rPr>
                <w:rtl w:val="0"/>
              </w:rPr>
            </w:r>
          </w:p>
          <w:p w:rsidR="00000000" w:rsidDel="00000000" w:rsidP="00000000" w:rsidRDefault="00000000" w:rsidRPr="00000000" w14:paraId="0000001A">
            <w:pPr>
              <w:spacing w:after="200" w:lineRule="auto"/>
              <w:jc w:val="center"/>
              <w:rPr/>
            </w:pPr>
            <w:r w:rsidDel="00000000" w:rsidR="00000000" w:rsidRPr="00000000">
              <w:rPr>
                <w:rFonts w:ascii="Calibri" w:cs="Calibri" w:eastAsia="Calibri" w:hAnsi="Calibri"/>
                <w:b w:val="0"/>
                <w:bCs w:val="0"/>
                <w:i w:val="0"/>
                <w:iCs w:val="0"/>
                <w:color w:val="2b2b2b"/>
                <w:sz w:val="22"/>
                <w:szCs w:val="22"/>
                <w:rtl w:val="0"/>
              </w:rPr>
              <w:t xml:space="preserve">The Revenue Diagnostic is a focused conversation, not a sales pitch. It helps identify where opportunity may be getting lost and which constraint deserves attention first.</w:t>
            </w:r>
            <w:r w:rsidDel="00000000" w:rsidR="00000000" w:rsidRPr="00000000">
              <w:rPr>
                <w:rtl w:val="0"/>
              </w:rPr>
            </w:r>
          </w:p>
          <w:p w:rsidR="00000000" w:rsidDel="00000000" w:rsidP="00000000" w:rsidRDefault="00000000" w:rsidRPr="00000000" w14:paraId="0000001B">
            <w:pPr>
              <w:spacing w:after="240" w:lineRule="auto"/>
              <w:jc w:val="center"/>
              <w:rPr/>
            </w:pPr>
            <w:r w:rsidDel="00000000" w:rsidR="00000000" w:rsidRPr="00000000">
              <w:rPr>
                <w:b w:val="1"/>
                <w:bCs w:val="1"/>
                <w:sz w:val="22"/>
                <w:szCs w:val="22"/>
                <w:rtl w:val="0"/>
              </w:rPr>
              <w:t xml:space="preserve">You leave with a clearer view of the priority constraint and what deserves attention next.</w:t>
            </w:r>
            <w:r w:rsidDel="00000000" w:rsidR="00000000" w:rsidRPr="00000000">
              <w:rPr>
                <w:rtl w:val="0"/>
              </w:rPr>
            </w:r>
          </w:p>
          <w:p w:rsidR="00000000" w:rsidDel="00000000" w:rsidP="00000000" w:rsidRDefault="00000000" w:rsidRPr="00000000" w14:paraId="0000001C">
            <w:pPr>
              <w:jc w:val="center"/>
              <w:rPr/>
            </w:pPr>
            <w:r w:rsidDel="00000000" w:rsidR="00000000" w:rsidRPr="00000000">
              <w:rPr>
                <w:rFonts w:ascii="Calibri" w:cs="Calibri" w:eastAsia="Calibri" w:hAnsi="Calibri"/>
                <w:b w:val="1"/>
                <w:bCs w:val="1"/>
                <w:i w:val="0"/>
                <w:iCs w:val="0"/>
                <w:color w:val="841617"/>
                <w:sz w:val="22"/>
                <w:szCs w:val="22"/>
                <w:rtl w:val="0"/>
              </w:rPr>
              <w:t xml:space="preserve">BOOK A REVENUE DIAGNOSTIC</w:t>
            </w:r>
            <w:r w:rsidDel="00000000" w:rsidR="00000000" w:rsidRPr="00000000">
              <w:rPr>
                <w:rtl w:val="0"/>
              </w:rPr>
            </w:r>
          </w:p>
        </w:tc>
      </w:tr>
    </w:tbl>
    <w:p w:rsidR="00000000" w:rsidDel="00000000" w:rsidP="00000000" w:rsidRDefault="00000000" w:rsidRPr="00000000" w14:paraId="0000001D">
      <w:pPr>
        <w:spacing w:after="40" w:before="160" w:line="259" w:lineRule="auto"/>
        <w:rPr/>
      </w:pPr>
      <w:r w:rsidDel="00000000" w:rsidR="00000000" w:rsidRPr="00000000">
        <w:rPr>
          <w:rFonts w:ascii="Calibri" w:cs="Calibri" w:eastAsia="Calibri" w:hAnsi="Calibri"/>
          <w:b w:val="1"/>
          <w:bCs w:val="1"/>
          <w:i w:val="0"/>
          <w:iCs w:val="0"/>
          <w:color w:val="841617"/>
          <w:sz w:val="19"/>
          <w:szCs w:val="19"/>
          <w:rtl w:val="0"/>
        </w:rPr>
        <w:t xml:space="preserve">Visible-copy count</w:t>
      </w:r>
      <w:r w:rsidDel="00000000" w:rsidR="00000000" w:rsidRPr="00000000">
        <w:rPr>
          <w:rtl w:val="0"/>
        </w:rPr>
      </w:r>
    </w:p>
    <w:p w:rsidR="00000000" w:rsidDel="00000000" w:rsidP="00000000" w:rsidRDefault="00000000" w:rsidRPr="00000000" w14:paraId="0000001E">
      <w:pPr>
        <w:spacing w:after="160" w:before="0" w:line="259" w:lineRule="auto"/>
        <w:rPr/>
      </w:pPr>
      <w:r w:rsidDel="00000000" w:rsidR="00000000" w:rsidRPr="00000000">
        <w:rPr>
          <w:sz w:val="20"/>
          <w:szCs w:val="20"/>
          <w:rtl w:val="0"/>
        </w:rPr>
        <w:t xml:space="preserve">Visible copy remains below the 90-word Section 11 ceiling.</w:t>
      </w:r>
      <w:r w:rsidDel="00000000" w:rsidR="00000000" w:rsidRPr="00000000">
        <w:rPr>
          <w:rtl w:val="0"/>
        </w:rPr>
      </w:r>
    </w:p>
    <w:p w:rsidR="00000000" w:rsidDel="00000000" w:rsidP="00000000" w:rsidRDefault="00000000" w:rsidRPr="00000000" w14:paraId="0000001F">
      <w:pPr>
        <w:keepNext w:val="1"/>
        <w:spacing w:after="100" w:before="160" w:line="259" w:lineRule="auto"/>
        <w:rPr/>
      </w:pPr>
      <w:r w:rsidDel="00000000" w:rsidR="00000000" w:rsidRPr="00000000">
        <w:rPr>
          <w:rFonts w:ascii="Calibri" w:cs="Calibri" w:eastAsia="Calibri" w:hAnsi="Calibri"/>
          <w:b w:val="1"/>
          <w:bCs w:val="1"/>
          <w:i w:val="0"/>
          <w:iCs w:val="0"/>
          <w:color w:val="841617"/>
          <w:sz w:val="28"/>
          <w:szCs w:val="28"/>
          <w:rtl w:val="0"/>
        </w:rPr>
        <w:t xml:space="preserve">2. Closing Logic and Canonical Boundary</w:t>
      </w:r>
      <w:r w:rsidDel="00000000" w:rsidR="00000000" w:rsidRPr="00000000">
        <w:rPr>
          <w:rtl w:val="0"/>
        </w:rPr>
      </w:r>
    </w:p>
    <w:p w:rsidR="00000000" w:rsidDel="00000000" w:rsidP="00000000" w:rsidRDefault="00000000" w:rsidRPr="00000000" w14:paraId="00000020">
      <w:pPr>
        <w:spacing w:after="160" w:before="0" w:line="259" w:lineRule="auto"/>
        <w:rPr/>
      </w:pPr>
      <w:r w:rsidDel="00000000" w:rsidR="00000000" w:rsidRPr="00000000">
        <w:rPr>
          <w:rFonts w:ascii="Calibri" w:cs="Calibri" w:eastAsia="Calibri" w:hAnsi="Calibri"/>
          <w:b w:val="0"/>
          <w:bCs w:val="0"/>
          <w:i w:val="0"/>
          <w:iCs w:val="0"/>
          <w:color w:val="2b2b2b"/>
          <w:sz w:val="21"/>
          <w:szCs w:val="21"/>
          <w:rtl w:val="0"/>
        </w:rPr>
        <w:t xml:space="preserve">Section 11 performs two jobs in one controlled close: it names Revenue Infrastructure after the visitor already understands the value, and then moves directly to the Revenue Diagnostic action.</w:t>
      </w:r>
      <w:r w:rsidDel="00000000" w:rsidR="00000000" w:rsidRPr="00000000">
        <w:rPr>
          <w:rtl w:val="0"/>
        </w:rPr>
      </w:r>
    </w:p>
    <w:tbl>
      <w:tblPr>
        <w:tblStyle w:val="Table4"/>
        <w:tblW w:w="10224.0" w:type="dxa"/>
        <w:jc w:val="center"/>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841617" w:val="clear"/>
            <w:tcMar>
              <w:top w:w="120.0" w:type="dxa"/>
              <w:bottom w:w="120.0" w:type="dxa"/>
            </w:tcMar>
            <w:vAlign w:val="center"/>
          </w:tcPr>
          <w:p w:rsidR="00000000" w:rsidDel="00000000" w:rsidP="00000000" w:rsidRDefault="00000000" w:rsidRPr="00000000" w14:paraId="00000021">
            <w:pPr>
              <w:spacing w:after="0" w:line="252.00000000000003" w:lineRule="auto"/>
              <w:jc w:val="center"/>
              <w:rPr/>
            </w:pPr>
            <w:r w:rsidDel="00000000" w:rsidR="00000000" w:rsidRPr="00000000">
              <w:rPr>
                <w:rFonts w:ascii="Calibri" w:cs="Calibri" w:eastAsia="Calibri" w:hAnsi="Calibri"/>
                <w:b w:val="1"/>
                <w:bCs w:val="1"/>
                <w:i w:val="0"/>
                <w:iCs w:val="0"/>
                <w:color w:val="ffffff"/>
                <w:sz w:val="19"/>
                <w:szCs w:val="19"/>
                <w:rtl w:val="0"/>
              </w:rPr>
              <w:t xml:space="preserve">Element</w:t>
            </w:r>
            <w:r w:rsidDel="00000000" w:rsidR="00000000" w:rsidRPr="00000000">
              <w:rPr>
                <w:rtl w:val="0"/>
              </w:rPr>
            </w:r>
          </w:p>
        </w:tc>
        <w:tc>
          <w:tcPr>
            <w:shd w:fill="841617" w:val="clear"/>
            <w:tcMar>
              <w:top w:w="120.0" w:type="dxa"/>
              <w:bottom w:w="120.0" w:type="dxa"/>
            </w:tcMar>
            <w:vAlign w:val="center"/>
          </w:tcPr>
          <w:p w:rsidR="00000000" w:rsidDel="00000000" w:rsidP="00000000" w:rsidRDefault="00000000" w:rsidRPr="00000000" w14:paraId="00000022">
            <w:pPr>
              <w:spacing w:after="0" w:line="252.00000000000003" w:lineRule="auto"/>
              <w:jc w:val="center"/>
              <w:rPr/>
            </w:pPr>
            <w:r w:rsidDel="00000000" w:rsidR="00000000" w:rsidRPr="00000000">
              <w:rPr>
                <w:rFonts w:ascii="Calibri" w:cs="Calibri" w:eastAsia="Calibri" w:hAnsi="Calibri"/>
                <w:b w:val="1"/>
                <w:bCs w:val="1"/>
                <w:i w:val="0"/>
                <w:iCs w:val="0"/>
                <w:color w:val="ffffff"/>
                <w:sz w:val="19"/>
                <w:szCs w:val="19"/>
                <w:rtl w:val="0"/>
              </w:rPr>
              <w:t xml:space="preserve">Homepage role</w:t>
            </w:r>
            <w:r w:rsidDel="00000000" w:rsidR="00000000" w:rsidRPr="00000000">
              <w:rPr>
                <w:rtl w:val="0"/>
              </w:rPr>
            </w:r>
          </w:p>
        </w:tc>
        <w:tc>
          <w:tcPr>
            <w:shd w:fill="841617" w:val="clear"/>
            <w:tcMar>
              <w:top w:w="120.0" w:type="dxa"/>
              <w:bottom w:w="120.0" w:type="dxa"/>
            </w:tcMar>
            <w:vAlign w:val="center"/>
          </w:tcPr>
          <w:p w:rsidR="00000000" w:rsidDel="00000000" w:rsidP="00000000" w:rsidRDefault="00000000" w:rsidRPr="00000000" w14:paraId="00000023">
            <w:pPr>
              <w:spacing w:after="0" w:line="252.00000000000003" w:lineRule="auto"/>
              <w:jc w:val="center"/>
              <w:rPr/>
            </w:pPr>
            <w:r w:rsidDel="00000000" w:rsidR="00000000" w:rsidRPr="00000000">
              <w:rPr>
                <w:rFonts w:ascii="Calibri" w:cs="Calibri" w:eastAsia="Calibri" w:hAnsi="Calibri"/>
                <w:b w:val="1"/>
                <w:bCs w:val="1"/>
                <w:i w:val="0"/>
                <w:iCs w:val="0"/>
                <w:color w:val="ffffff"/>
                <w:sz w:val="19"/>
                <w:szCs w:val="19"/>
                <w:rtl w:val="0"/>
              </w:rPr>
              <w:t xml:space="preserve">Canonical owner</w:t>
            </w:r>
            <w:r w:rsidDel="00000000" w:rsidR="00000000" w:rsidRPr="00000000">
              <w:rPr>
                <w:rtl w:val="0"/>
              </w:rPr>
            </w:r>
          </w:p>
        </w:tc>
      </w:tr>
      <w:tr>
        <w:trPr>
          <w:cantSplit w:val="0"/>
          <w:tblHeader w:val="0"/>
        </w:trPr>
        <w:tc>
          <w:tcPr>
            <w:shd w:fill="ffffff" w:val="clear"/>
            <w:tcMar>
              <w:top w:w="120.0" w:type="dxa"/>
              <w:bottom w:w="120.0" w:type="dxa"/>
            </w:tcMar>
            <w:vAlign w:val="center"/>
          </w:tcPr>
          <w:p w:rsidR="00000000" w:rsidDel="00000000" w:rsidP="00000000" w:rsidRDefault="00000000" w:rsidRPr="00000000" w14:paraId="00000024">
            <w:pPr>
              <w:spacing w:after="0" w:line="252.00000000000003" w:lineRule="auto"/>
              <w:jc w:val="left"/>
              <w:rPr/>
            </w:pPr>
            <w:r w:rsidDel="00000000" w:rsidR="00000000" w:rsidRPr="00000000">
              <w:rPr>
                <w:rFonts w:ascii="Calibri" w:cs="Calibri" w:eastAsia="Calibri" w:hAnsi="Calibri"/>
                <w:b w:val="1"/>
                <w:bCs w:val="1"/>
                <w:i w:val="0"/>
                <w:iCs w:val="0"/>
                <w:color w:val="841617"/>
                <w:sz w:val="19"/>
                <w:szCs w:val="19"/>
                <w:rtl w:val="0"/>
              </w:rPr>
              <w:t xml:space="preserve">Revenue Infrastructure</w:t>
            </w:r>
            <w:r w:rsidDel="00000000" w:rsidR="00000000" w:rsidRPr="00000000">
              <w:rPr>
                <w:rtl w:val="0"/>
              </w:rPr>
            </w:r>
          </w:p>
        </w:tc>
        <w:tc>
          <w:tcPr>
            <w:shd w:fill="ffffff" w:val="clear"/>
            <w:tcMar>
              <w:top w:w="120.0" w:type="dxa"/>
              <w:bottom w:w="120.0" w:type="dxa"/>
            </w:tcMar>
            <w:vAlign w:val="center"/>
          </w:tcPr>
          <w:p w:rsidR="00000000" w:rsidDel="00000000" w:rsidP="00000000" w:rsidRDefault="00000000" w:rsidRPr="00000000" w14:paraId="00000025">
            <w:pPr>
              <w:spacing w:after="0" w:line="252.00000000000003" w:lineRule="auto"/>
              <w:jc w:val="left"/>
              <w:rPr/>
            </w:pPr>
            <w:r w:rsidDel="00000000" w:rsidR="00000000" w:rsidRPr="00000000">
              <w:rPr>
                <w:rFonts w:ascii="Calibri" w:cs="Calibri" w:eastAsia="Calibri" w:hAnsi="Calibri"/>
                <w:b w:val="0"/>
                <w:bCs w:val="0"/>
                <w:i w:val="0"/>
                <w:iCs w:val="0"/>
                <w:color w:val="2b2b2b"/>
                <w:sz w:val="19"/>
                <w:szCs w:val="19"/>
                <w:rtl w:val="0"/>
              </w:rPr>
              <w:t xml:space="preserve">One concise outcome-framed synthesis only. Do not teach the nine-domain framework.</w:t>
            </w:r>
            <w:r w:rsidDel="00000000" w:rsidR="00000000" w:rsidRPr="00000000">
              <w:rPr>
                <w:rtl w:val="0"/>
              </w:rPr>
            </w:r>
          </w:p>
        </w:tc>
        <w:tc>
          <w:tcPr>
            <w:shd w:fill="ffffff" w:val="clear"/>
            <w:tcMar>
              <w:top w:w="120.0" w:type="dxa"/>
              <w:bottom w:w="120.0" w:type="dxa"/>
            </w:tcMar>
            <w:vAlign w:val="center"/>
          </w:tcPr>
          <w:p w:rsidR="00000000" w:rsidDel="00000000" w:rsidP="00000000" w:rsidRDefault="00000000" w:rsidRPr="00000000" w14:paraId="00000026">
            <w:pPr>
              <w:spacing w:after="0" w:line="252.00000000000003" w:lineRule="auto"/>
              <w:jc w:val="left"/>
              <w:rPr/>
            </w:pPr>
            <w:r w:rsidDel="00000000" w:rsidR="00000000" w:rsidRPr="00000000">
              <w:rPr>
                <w:rFonts w:ascii="Calibri" w:cs="Calibri" w:eastAsia="Calibri" w:hAnsi="Calibri"/>
                <w:b w:val="0"/>
                <w:bCs w:val="0"/>
                <w:i w:val="0"/>
                <w:iCs w:val="0"/>
                <w:color w:val="2b2b2b"/>
                <w:sz w:val="19"/>
                <w:szCs w:val="19"/>
                <w:rtl w:val="0"/>
              </w:rPr>
              <w:t xml:space="preserve">Revenue Infrastructure Framework</w:t>
            </w:r>
            <w:r w:rsidDel="00000000" w:rsidR="00000000" w:rsidRPr="00000000">
              <w:rPr>
                <w:rtl w:val="0"/>
              </w:rPr>
            </w:r>
          </w:p>
        </w:tc>
      </w:tr>
      <w:tr>
        <w:trPr>
          <w:cantSplit w:val="0"/>
          <w:tblHeader w:val="0"/>
        </w:trPr>
        <w:tc>
          <w:tcPr>
            <w:shd w:fill="ffffff" w:val="clear"/>
            <w:tcMar>
              <w:top w:w="120.0" w:type="dxa"/>
              <w:bottom w:w="120.0" w:type="dxa"/>
            </w:tcMar>
            <w:vAlign w:val="center"/>
          </w:tcPr>
          <w:p w:rsidR="00000000" w:rsidDel="00000000" w:rsidP="00000000" w:rsidRDefault="00000000" w:rsidRPr="00000000" w14:paraId="00000027">
            <w:pPr>
              <w:spacing w:after="0" w:line="252.00000000000003" w:lineRule="auto"/>
              <w:jc w:val="left"/>
              <w:rPr/>
            </w:pPr>
            <w:r w:rsidDel="00000000" w:rsidR="00000000" w:rsidRPr="00000000">
              <w:rPr>
                <w:rFonts w:ascii="Calibri" w:cs="Calibri" w:eastAsia="Calibri" w:hAnsi="Calibri"/>
                <w:b w:val="1"/>
                <w:bCs w:val="1"/>
                <w:i w:val="0"/>
                <w:iCs w:val="0"/>
                <w:color w:val="841617"/>
                <w:sz w:val="19"/>
                <w:szCs w:val="19"/>
                <w:rtl w:val="0"/>
              </w:rPr>
              <w:t xml:space="preserve">Revenue Diagnostic</w:t>
            </w:r>
            <w:r w:rsidDel="00000000" w:rsidR="00000000" w:rsidRPr="00000000">
              <w:rPr>
                <w:rtl w:val="0"/>
              </w:rPr>
            </w:r>
          </w:p>
        </w:tc>
        <w:tc>
          <w:tcPr>
            <w:shd w:fill="ffffff" w:val="clear"/>
            <w:tcMar>
              <w:top w:w="120.0" w:type="dxa"/>
              <w:bottom w:w="120.0" w:type="dxa"/>
            </w:tcMar>
            <w:vAlign w:val="center"/>
          </w:tcPr>
          <w:p w:rsidR="00000000" w:rsidDel="00000000" w:rsidP="00000000" w:rsidRDefault="00000000" w:rsidRPr="00000000" w14:paraId="00000028">
            <w:pPr>
              <w:spacing w:after="0" w:line="252.00000000000003" w:lineRule="auto"/>
              <w:jc w:val="left"/>
              <w:rPr/>
            </w:pPr>
            <w:r w:rsidDel="00000000" w:rsidR="00000000" w:rsidRPr="00000000">
              <w:rPr>
                <w:rFonts w:ascii="Calibri" w:cs="Calibri" w:eastAsia="Calibri" w:hAnsi="Calibri"/>
                <w:b w:val="0"/>
                <w:bCs w:val="0"/>
                <w:i w:val="0"/>
                <w:iCs w:val="0"/>
                <w:color w:val="2b2b2b"/>
                <w:sz w:val="19"/>
                <w:szCs w:val="19"/>
                <w:rtl w:val="0"/>
              </w:rPr>
              <w:t xml:space="preserve">Explain the purpose and expected value of the conversation without duplicating the full booking experience.</w:t>
            </w:r>
            <w:r w:rsidDel="00000000" w:rsidR="00000000" w:rsidRPr="00000000">
              <w:rPr>
                <w:rtl w:val="0"/>
              </w:rPr>
            </w:r>
          </w:p>
        </w:tc>
        <w:tc>
          <w:tcPr>
            <w:shd w:fill="ffffff" w:val="clear"/>
            <w:tcMar>
              <w:top w:w="120.0" w:type="dxa"/>
              <w:bottom w:w="120.0" w:type="dxa"/>
            </w:tcMar>
            <w:vAlign w:val="center"/>
          </w:tcPr>
          <w:p w:rsidR="00000000" w:rsidDel="00000000" w:rsidP="00000000" w:rsidRDefault="00000000" w:rsidRPr="00000000" w14:paraId="00000029">
            <w:pPr>
              <w:spacing w:after="0" w:line="252.00000000000003" w:lineRule="auto"/>
              <w:jc w:val="left"/>
              <w:rPr/>
            </w:pPr>
            <w:r w:rsidDel="00000000" w:rsidR="00000000" w:rsidRPr="00000000">
              <w:rPr>
                <w:rFonts w:ascii="Calibri" w:cs="Calibri" w:eastAsia="Calibri" w:hAnsi="Calibri"/>
                <w:b w:val="0"/>
                <w:bCs w:val="0"/>
                <w:i w:val="0"/>
                <w:iCs w:val="0"/>
                <w:color w:val="2b2b2b"/>
                <w:sz w:val="19"/>
                <w:szCs w:val="19"/>
                <w:rtl w:val="0"/>
              </w:rPr>
              <w:t xml:space="preserve">Contact / Booking</w:t>
            </w:r>
            <w:r w:rsidDel="00000000" w:rsidR="00000000" w:rsidRPr="00000000">
              <w:rPr>
                <w:rtl w:val="0"/>
              </w:rPr>
            </w:r>
          </w:p>
        </w:tc>
      </w:tr>
      <w:tr>
        <w:trPr>
          <w:cantSplit w:val="0"/>
          <w:tblHeader w:val="0"/>
        </w:trPr>
        <w:tc>
          <w:tcPr>
            <w:shd w:fill="ffffff" w:val="clear"/>
            <w:tcMar>
              <w:top w:w="120.0" w:type="dxa"/>
              <w:bottom w:w="120.0" w:type="dxa"/>
            </w:tcMar>
            <w:vAlign w:val="center"/>
          </w:tcPr>
          <w:p w:rsidR="00000000" w:rsidDel="00000000" w:rsidP="00000000" w:rsidRDefault="00000000" w:rsidRPr="00000000" w14:paraId="0000002A">
            <w:pPr>
              <w:spacing w:after="0" w:line="252.00000000000003" w:lineRule="auto"/>
              <w:jc w:val="left"/>
              <w:rPr/>
            </w:pPr>
            <w:r w:rsidDel="00000000" w:rsidR="00000000" w:rsidRPr="00000000">
              <w:rPr>
                <w:rFonts w:ascii="Calibri" w:cs="Calibri" w:eastAsia="Calibri" w:hAnsi="Calibri"/>
                <w:b w:val="1"/>
                <w:bCs w:val="1"/>
                <w:i w:val="0"/>
                <w:iCs w:val="0"/>
                <w:color w:val="841617"/>
                <w:sz w:val="19"/>
                <w:szCs w:val="19"/>
                <w:rtl w:val="0"/>
              </w:rPr>
              <w:t xml:space="preserve">Conversion action</w:t>
            </w:r>
            <w:r w:rsidDel="00000000" w:rsidR="00000000" w:rsidRPr="00000000">
              <w:rPr>
                <w:rtl w:val="0"/>
              </w:rPr>
            </w:r>
          </w:p>
        </w:tc>
        <w:tc>
          <w:tcPr>
            <w:shd w:fill="ffffff" w:val="clear"/>
            <w:tcMar>
              <w:top w:w="120.0" w:type="dxa"/>
              <w:bottom w:w="120.0" w:type="dxa"/>
            </w:tcMar>
            <w:vAlign w:val="center"/>
          </w:tcPr>
          <w:p w:rsidR="00000000" w:rsidDel="00000000" w:rsidP="00000000" w:rsidRDefault="00000000" w:rsidRPr="00000000" w14:paraId="0000002B">
            <w:pPr>
              <w:spacing w:after="0" w:line="252.00000000000003" w:lineRule="auto"/>
              <w:jc w:val="left"/>
              <w:rPr/>
            </w:pPr>
            <w:r w:rsidDel="00000000" w:rsidR="00000000" w:rsidRPr="00000000">
              <w:rPr>
                <w:rFonts w:ascii="Calibri" w:cs="Calibri" w:eastAsia="Calibri" w:hAnsi="Calibri"/>
                <w:b w:val="0"/>
                <w:bCs w:val="0"/>
                <w:i w:val="0"/>
                <w:iCs w:val="0"/>
                <w:color w:val="2b2b2b"/>
                <w:sz w:val="19"/>
                <w:szCs w:val="19"/>
                <w:rtl w:val="0"/>
              </w:rPr>
              <w:t xml:space="preserve">Use one exact action only: Book a Revenue Diagnostic.</w:t>
            </w:r>
            <w:r w:rsidDel="00000000" w:rsidR="00000000" w:rsidRPr="00000000">
              <w:rPr>
                <w:rtl w:val="0"/>
              </w:rPr>
            </w:r>
          </w:p>
        </w:tc>
        <w:tc>
          <w:tcPr>
            <w:shd w:fill="ffffff" w:val="clear"/>
            <w:tcMar>
              <w:top w:w="120.0" w:type="dxa"/>
              <w:bottom w:w="120.0" w:type="dxa"/>
            </w:tcMar>
            <w:vAlign w:val="center"/>
          </w:tcPr>
          <w:p w:rsidR="00000000" w:rsidDel="00000000" w:rsidP="00000000" w:rsidRDefault="00000000" w:rsidRPr="00000000" w14:paraId="0000002C">
            <w:pPr>
              <w:spacing w:after="0" w:line="252.00000000000003" w:lineRule="auto"/>
              <w:jc w:val="left"/>
              <w:rPr/>
            </w:pPr>
            <w:r w:rsidDel="00000000" w:rsidR="00000000" w:rsidRPr="00000000">
              <w:rPr>
                <w:rFonts w:ascii="Calibri" w:cs="Calibri" w:eastAsia="Calibri" w:hAnsi="Calibri"/>
                <w:b w:val="0"/>
                <w:bCs w:val="0"/>
                <w:i w:val="0"/>
                <w:iCs w:val="0"/>
                <w:color w:val="2b2b2b"/>
                <w:sz w:val="19"/>
                <w:szCs w:val="19"/>
                <w:rtl w:val="0"/>
              </w:rPr>
              <w:t xml:space="preserve">Shared CTA standard</w:t>
            </w:r>
            <w:r w:rsidDel="00000000" w:rsidR="00000000" w:rsidRPr="00000000">
              <w:rPr>
                <w:rtl w:val="0"/>
              </w:rPr>
            </w:r>
          </w:p>
        </w:tc>
      </w:tr>
    </w:tbl>
    <w:p w:rsidR="00000000" w:rsidDel="00000000" w:rsidP="00000000" w:rsidRDefault="00000000" w:rsidRPr="00000000" w14:paraId="0000002D">
      <w:pPr>
        <w:spacing w:after="60" w:before="160" w:line="259" w:lineRule="auto"/>
        <w:rPr/>
      </w:pPr>
      <w:r w:rsidDel="00000000" w:rsidR="00000000" w:rsidRPr="00000000">
        <w:rPr>
          <w:rFonts w:ascii="Calibri" w:cs="Calibri" w:eastAsia="Calibri" w:hAnsi="Calibri"/>
          <w:b w:val="1"/>
          <w:bCs w:val="1"/>
          <w:i w:val="0"/>
          <w:iCs w:val="0"/>
          <w:color w:val="841617"/>
          <w:sz w:val="20"/>
          <w:szCs w:val="20"/>
          <w:rtl w:val="0"/>
        </w:rPr>
        <w:t xml:space="preserve">Narrative handoff</w:t>
      </w:r>
      <w:r w:rsidDel="00000000" w:rsidR="00000000" w:rsidRPr="00000000">
        <w:rPr>
          <w:rtl w:val="0"/>
        </w:rPr>
      </w:r>
    </w:p>
    <w:p w:rsidR="00000000" w:rsidDel="00000000" w:rsidP="00000000" w:rsidRDefault="00000000" w:rsidRPr="00000000" w14:paraId="0000002E">
      <w:pPr>
        <w:spacing w:after="120" w:before="0" w:line="259" w:lineRule="auto"/>
        <w:rPr/>
      </w:pPr>
      <w:r w:rsidDel="00000000" w:rsidR="00000000" w:rsidRPr="00000000">
        <w:rPr>
          <w:rFonts w:ascii="Calibri" w:cs="Calibri" w:eastAsia="Calibri" w:hAnsi="Calibri"/>
          <w:b w:val="0"/>
          <w:bCs w:val="0"/>
          <w:i w:val="0"/>
          <w:iCs w:val="0"/>
          <w:color w:val="2b2b2b"/>
          <w:sz w:val="20"/>
          <w:szCs w:val="20"/>
          <w:rtl w:val="0"/>
        </w:rPr>
        <w:t xml:space="preserve">Section 10 establishes the experience behind the approach. Section 11 names the connected approach as Revenue Infrastructure and makes the Revenue Diagnostic the next step for identifying what deserves attention first.</w:t>
      </w: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200" w:before="0" w:line="259" w:lineRule="auto"/>
        <w:rPr/>
      </w:pPr>
      <w:r w:rsidDel="00000000" w:rsidR="00000000" w:rsidRPr="00000000">
        <w:rPr>
          <w:rFonts w:ascii="Calibri" w:cs="Calibri" w:eastAsia="Calibri" w:hAnsi="Calibri"/>
          <w:b w:val="1"/>
          <w:bCs w:val="1"/>
          <w:i w:val="0"/>
          <w:iCs w:val="0"/>
          <w:color w:val="841617"/>
          <w:sz w:val="19"/>
          <w:szCs w:val="19"/>
          <w:rtl w:val="0"/>
        </w:rPr>
        <w:t xml:space="preserve">GROWTHWORKS SYSTEMS | HOMEPAGE COPY SPECIFICATION</w:t>
      </w:r>
      <w:r w:rsidDel="00000000" w:rsidR="00000000" w:rsidRPr="00000000">
        <w:rPr>
          <w:rtl w:val="0"/>
        </w:rPr>
      </w:r>
    </w:p>
    <w:p w:rsidR="00000000" w:rsidDel="00000000" w:rsidP="00000000" w:rsidRDefault="00000000" w:rsidRPr="00000000" w14:paraId="00000031">
      <w:pPr>
        <w:keepNext w:val="1"/>
        <w:spacing w:after="100" w:before="160" w:line="259" w:lineRule="auto"/>
        <w:rPr/>
      </w:pPr>
      <w:r w:rsidDel="00000000" w:rsidR="00000000" w:rsidRPr="00000000">
        <w:rPr>
          <w:rFonts w:ascii="Calibri" w:cs="Calibri" w:eastAsia="Calibri" w:hAnsi="Calibri"/>
          <w:b w:val="1"/>
          <w:bCs w:val="1"/>
          <w:i w:val="0"/>
          <w:iCs w:val="0"/>
          <w:color w:val="841617"/>
          <w:sz w:val="28"/>
          <w:szCs w:val="28"/>
          <w:rtl w:val="0"/>
        </w:rPr>
        <w:t xml:space="preserve">3. Visual and Implementation Specification</w:t>
      </w:r>
      <w:r w:rsidDel="00000000" w:rsidR="00000000" w:rsidRPr="00000000">
        <w:rPr>
          <w:rtl w:val="0"/>
        </w:rPr>
      </w:r>
    </w:p>
    <w:p w:rsidR="00000000" w:rsidDel="00000000" w:rsidP="00000000" w:rsidRDefault="00000000" w:rsidRPr="00000000" w14:paraId="00000032">
      <w:pPr>
        <w:spacing w:after="160" w:before="0" w:line="259" w:lineRule="auto"/>
        <w:rPr/>
      </w:pPr>
      <w:r w:rsidDel="00000000" w:rsidR="00000000" w:rsidRPr="00000000">
        <w:rPr>
          <w:rFonts w:ascii="Calibri" w:cs="Calibri" w:eastAsia="Calibri" w:hAnsi="Calibri"/>
          <w:b w:val="0"/>
          <w:bCs w:val="0"/>
          <w:i w:val="0"/>
          <w:iCs w:val="0"/>
          <w:color w:val="6b6b6b"/>
          <w:sz w:val="19"/>
          <w:szCs w:val="19"/>
          <w:rtl w:val="0"/>
        </w:rPr>
        <w:t xml:space="preserve">One closing band. One action. No competing paths.</w:t>
      </w:r>
      <w:r w:rsidDel="00000000" w:rsidR="00000000" w:rsidRPr="00000000">
        <w:rPr>
          <w:rtl w:val="0"/>
        </w:rPr>
      </w:r>
    </w:p>
    <w:p w:rsidR="00000000" w:rsidDel="00000000" w:rsidP="00000000" w:rsidRDefault="00000000" w:rsidRPr="00000000" w14:paraId="00000033">
      <w:pPr>
        <w:spacing w:after="200" w:before="0" w:line="259" w:lineRule="auto"/>
        <w:rPr/>
      </w:pPr>
      <w:r w:rsidDel="00000000" w:rsidR="00000000" w:rsidRPr="00000000">
        <w:rPr>
          <w:rFonts w:ascii="Calibri" w:cs="Calibri" w:eastAsia="Calibri" w:hAnsi="Calibri"/>
          <w:b w:val="0"/>
          <w:bCs w:val="0"/>
          <w:i w:val="0"/>
          <w:iCs w:val="0"/>
          <w:color w:val="2b2b2b"/>
          <w:sz w:val="21"/>
          <w:szCs w:val="21"/>
          <w:rtl w:val="0"/>
        </w:rPr>
        <w:t xml:space="preserve">Use a single conversion section with two restrained visual layers: a brief Revenue Infrastructure synthesis above, followed by one dominant Revenue Diagnostic panel. The layout should feel like the conclusion of the homepage, not another content section competing for attention.</w:t>
      </w:r>
      <w:r w:rsidDel="00000000" w:rsidR="00000000" w:rsidRPr="00000000">
        <w:rPr>
          <w:rtl w:val="0"/>
        </w:rPr>
      </w:r>
    </w:p>
    <w:tbl>
      <w:tblPr>
        <w:tblStyle w:val="Table5"/>
        <w:tblW w:w="10224.0" w:type="dxa"/>
        <w:jc w:val="center"/>
        <w:tblLayout w:type="fixed"/>
        <w:tblLook w:val="0400"/>
      </w:tblPr>
      <w:tblGrid>
        <w:gridCol w:w="10224"/>
        <w:tblGridChange w:id="0">
          <w:tblGrid>
            <w:gridCol w:w="10224"/>
          </w:tblGrid>
        </w:tblGridChange>
      </w:tblGrid>
      <w:tr>
        <w:trPr>
          <w:cantSplit w:val="0"/>
          <w:tblHeader w:val="0"/>
        </w:trPr>
        <w:tc>
          <w:tcPr>
            <w:shd w:fill="efeae1" w:val="clear"/>
            <w:tcMar>
              <w:top w:w="120.0" w:type="dxa"/>
              <w:bottom w:w="120.0" w:type="dxa"/>
            </w:tcMar>
            <w:vAlign w:val="center"/>
          </w:tcPr>
          <w:p w:rsidR="00000000" w:rsidDel="00000000" w:rsidP="00000000" w:rsidRDefault="00000000" w:rsidRPr="00000000" w14:paraId="00000034">
            <w:pPr>
              <w:spacing w:after="0" w:line="252.00000000000003" w:lineRule="auto"/>
              <w:jc w:val="center"/>
              <w:rPr/>
            </w:pPr>
            <w:r w:rsidDel="00000000" w:rsidR="00000000" w:rsidRPr="00000000">
              <w:rPr>
                <w:rFonts w:ascii="Calibri" w:cs="Calibri" w:eastAsia="Calibri" w:hAnsi="Calibri"/>
                <w:b w:val="1"/>
                <w:bCs w:val="1"/>
                <w:i w:val="0"/>
                <w:iCs w:val="0"/>
                <w:color w:val="841617"/>
                <w:sz w:val="22"/>
                <w:szCs w:val="22"/>
                <w:rtl w:val="0"/>
              </w:rPr>
              <w:t xml:space="preserve">REVENUE INFRASTRUCTURE</w:t>
              <w:br w:type="textWrapping"/>
              <w:t xml:space="preserve">Connected system behind the outcomes already shown</w:t>
            </w:r>
            <w:r w:rsidDel="00000000" w:rsidR="00000000" w:rsidRPr="00000000">
              <w:rPr>
                <w:rtl w:val="0"/>
              </w:rPr>
            </w:r>
          </w:p>
        </w:tc>
      </w:tr>
      <w:tr>
        <w:trPr>
          <w:cantSplit w:val="0"/>
          <w:tblHeader w:val="0"/>
        </w:trPr>
        <w:tc>
          <w:tcPr>
            <w:shd w:fill="f8f5ec" w:val="clear"/>
            <w:tcMar>
              <w:top w:w="120.0" w:type="dxa"/>
              <w:bottom w:w="120.0" w:type="dxa"/>
            </w:tcMar>
            <w:vAlign w:val="center"/>
          </w:tcPr>
          <w:p w:rsidR="00000000" w:rsidDel="00000000" w:rsidP="00000000" w:rsidRDefault="00000000" w:rsidRPr="00000000" w14:paraId="00000035">
            <w:pPr>
              <w:spacing w:after="0" w:line="252.00000000000003" w:lineRule="auto"/>
              <w:jc w:val="center"/>
              <w:rPr/>
            </w:pPr>
            <w:r w:rsidDel="00000000" w:rsidR="00000000" w:rsidRPr="00000000">
              <w:rPr>
                <w:rFonts w:ascii="Calibri" w:cs="Calibri" w:eastAsia="Calibri" w:hAnsi="Calibri"/>
                <w:b w:val="1"/>
                <w:bCs w:val="1"/>
                <w:i w:val="0"/>
                <w:iCs w:val="0"/>
                <w:color w:val="2b2b2b"/>
                <w:sz w:val="24"/>
                <w:szCs w:val="24"/>
                <w:rtl w:val="0"/>
              </w:rPr>
              <w:t xml:space="preserve">REVENUE DIAGNOSTIC</w:t>
              <w:br w:type="textWrapping"/>
              <w:t xml:space="preserve">Focused explanation + one dominant action</w:t>
              <w:br w:type="textWrapping"/>
              <w:t xml:space="preserve">BOOK A REVENUE DIAGNOSTIC</w:t>
            </w:r>
            <w:r w:rsidDel="00000000" w:rsidR="00000000" w:rsidRPr="00000000">
              <w:rPr>
                <w:rtl w:val="0"/>
              </w:rPr>
            </w:r>
          </w:p>
        </w:tc>
      </w:tr>
    </w:tbl>
    <w:p w:rsidR="00000000" w:rsidDel="00000000" w:rsidP="00000000" w:rsidRDefault="00000000" w:rsidRPr="00000000" w14:paraId="00000036">
      <w:pPr>
        <w:spacing w:after="80" w:before="200" w:line="259" w:lineRule="auto"/>
        <w:rPr/>
      </w:pPr>
      <w:r w:rsidDel="00000000" w:rsidR="00000000" w:rsidRPr="00000000">
        <w:rPr>
          <w:rFonts w:ascii="Calibri" w:cs="Calibri" w:eastAsia="Calibri" w:hAnsi="Calibri"/>
          <w:b w:val="1"/>
          <w:bCs w:val="1"/>
          <w:i w:val="0"/>
          <w:iCs w:val="0"/>
          <w:color w:val="841617"/>
          <w:sz w:val="20"/>
          <w:szCs w:val="20"/>
          <w:rtl w:val="0"/>
        </w:rPr>
        <w:t xml:space="preserve">Implementation guardrails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Use the exact primary CTA label: Book a Revenue Diagnostic.</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Do not add Explore the Framework, Explore Solutions, Meet the Founder, industry links, or any other competing action inside the closing CTA section.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Do not repeat the former START HERE band after this section. Section 11 is the single homepage close.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Keep the Revenue Infrastructure line outcome-framed and brief. The Framework page owns the complete category definition and nine-domain depth.</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Keep the Revenue Diagnostic explanation realistic. Do not promise a formal report, guaranteed ROI, specific savings, or a transformation plan unless those deliverables are explicitly approved elsewhere.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The homepage may explain the purpose and expected value of the diagnostic; Contact / Booking owns scheduling, qualification, preparation, and detailed next-step guidance.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Calibri" w:cs="Calibri" w:eastAsia="Calibri" w:hAnsi="Calibri"/>
          <w:b w:val="0"/>
          <w:bCs w:val="0"/>
          <w:i w:val="0"/>
          <w:iCs w:val="0"/>
          <w:smallCaps w:val="0"/>
          <w:strike w:val="0"/>
          <w:color w:val="2b2b2b"/>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E">
      <w:pPr>
        <w:spacing w:after="60" w:before="160" w:line="259" w:lineRule="auto"/>
        <w:rPr/>
      </w:pPr>
      <w:r w:rsidDel="00000000" w:rsidR="00000000" w:rsidRPr="00000000">
        <w:rPr>
          <w:b w:val="1"/>
          <w:bCs w:val="1"/>
          <w:color w:val="841617"/>
          <w:sz w:val="20"/>
          <w:szCs w:val="20"/>
          <w:rtl w:val="0"/>
        </w:rPr>
        <w:t xml:space="preserve">Routing</w:t>
      </w:r>
      <w:r w:rsidDel="00000000" w:rsidR="00000000" w:rsidRPr="00000000">
        <w:rPr>
          <w:rtl w:val="0"/>
        </w:rPr>
      </w:r>
    </w:p>
    <w:p w:rsidR="00000000" w:rsidDel="00000000" w:rsidP="00000000" w:rsidRDefault="00000000" w:rsidRPr="00000000" w14:paraId="0000003F">
      <w:pPr>
        <w:spacing w:after="0" w:before="0" w:line="259" w:lineRule="auto"/>
        <w:rPr/>
      </w:pPr>
      <w:r w:rsidDel="00000000" w:rsidR="00000000" w:rsidRPr="00000000">
        <w:rPr>
          <w:sz w:val="20"/>
          <w:szCs w:val="20"/>
          <w:rtl w:val="0"/>
        </w:rPr>
        <w:t xml:space="preserve">Primary route: Book a Revenue Diagnostic to Contact / Booking. Once approved, this becomes the Section 11 homepage copy source for wireframing and implementation.</w:t>
      </w:r>
      <w:r w:rsidDel="00000000" w:rsidR="00000000" w:rsidRPr="00000000">
        <w:rPr>
          <w:rtl w:val="0"/>
        </w:rPr>
      </w:r>
    </w:p>
    <w:sectPr>
      <w:headerReference r:id="rId6" w:type="default"/>
      <w:footerReference r:id="rId7" w:type="default"/>
      <w:pgSz w:h="15840" w:w="12240" w:orient="portrait"/>
      <w:pgMar w:bottom="893" w:top="893"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b2b2b"/>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6b6b6b"/>
        <w:sz w:val="16"/>
        <w:szCs w:val="16"/>
        <w:u w:val="none"/>
        <w:shd w:fill="auto" w:val="clear"/>
        <w:vertAlign w:val="baseline"/>
        <w:rtl w:val="0"/>
      </w:rPr>
      <w:t xml:space="preserve">GROWTHWORKS SYSTEMS | HOMEPAGE COPY SPECIFICATION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2b2b2b"/>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841617"/>
        <w:sz w:val="17"/>
        <w:szCs w:val="17"/>
        <w:u w:val="none"/>
        <w:shd w:fill="auto" w:val="clear"/>
        <w:vertAlign w:val="baseline"/>
        <w:rtl w:val="0"/>
      </w:rPr>
      <w:t xml:space="preserve">GROWTHWORKS SYSTEMS | WEBSITE ENHANCEMENT | REVENUE DIAGNOSTIC CTA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b2b2b"/>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