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A55B5" w:rsidRDefault="001C56E0" w14:paraId="358B4B67" w14:textId="54A48406">
      <w:pPr>
        <w:pStyle w:val="papertitle"/>
        <w:rPr>
          <w:rFonts w:eastAsia="MS Mincho"/>
        </w:rPr>
      </w:pPr>
      <w:r>
        <w:rPr>
          <w:rFonts w:eastAsia="MS Mincho"/>
        </w:rPr>
        <w:t>Economical Diagnosis of Cognitive Impairment Using the AIBL Dataset</w:t>
      </w:r>
    </w:p>
    <w:p w:rsidR="008A55B5" w:rsidP="44CF2607" w:rsidRDefault="008A55B5" w14:paraId="79414810" w14:textId="10B0345F">
      <w:pPr>
        <w:pStyle w:val="papersubtitle"/>
        <w:jc w:val="center"/>
        <w:rPr>
          <w:rFonts w:eastAsia="MS Mincho"/>
        </w:rPr>
      </w:pPr>
      <w:r w:rsidRPr="44CF2607" w:rsidR="000B63F2">
        <w:rPr>
          <w:rFonts w:eastAsia="MS Mincho"/>
          <w:b w:val="1"/>
          <w:bCs w:val="1"/>
          <w:i w:val="1"/>
          <w:iCs w:val="1"/>
        </w:rPr>
        <w:t>A Machine Learning Approach with kNN Imputation, ROSE Balancing, and RFE Feature Selectio</w:t>
      </w:r>
      <w:r w:rsidRPr="44CF2607" w:rsidR="40586EC7">
        <w:rPr>
          <w:rFonts w:eastAsia="MS Mincho"/>
          <w:b w:val="1"/>
          <w:bCs w:val="1"/>
          <w:i w:val="1"/>
          <w:iCs w:val="1"/>
        </w:rPr>
        <w:t>n</w:t>
      </w:r>
    </w:p>
    <w:p w:rsidR="008A55B5" w:rsidRDefault="008A55B5" w14:paraId="5876968E" w14:textId="77777777">
      <w:pPr>
        <w:pStyle w:val="Author"/>
        <w:rPr>
          <w:rFonts w:eastAsia="MS Mincho"/>
        </w:rPr>
        <w:sectPr w:rsidR="008A55B5" w:rsidSect="003E45CF">
          <w:pgSz w:w="11909" w:h="16834" w:orient="portrait" w:code="9"/>
          <w:pgMar w:top="1080" w:right="659" w:bottom="2434" w:left="734" w:header="720" w:footer="720" w:gutter="0"/>
          <w:cols w:space="720"/>
          <w:docGrid w:linePitch="360"/>
        </w:sectPr>
      </w:pPr>
    </w:p>
    <w:p w:rsidR="4B8F0DB1" w:rsidP="44CF2607" w:rsidRDefault="4B8F0DB1" w14:paraId="6A006FF8" w14:textId="71EA0887">
      <w:pPr>
        <w:pStyle w:val="Normal"/>
        <w:suppressLineNumbers w:val="0"/>
        <w:bidi w:val="0"/>
        <w:spacing w:before="0" w:beforeAutospacing="off" w:after="40" w:afterAutospacing="off" w:line="259" w:lineRule="auto"/>
        <w:ind w:left="0" w:right="0"/>
        <w:jc w:val="center"/>
      </w:pPr>
      <w:r w:rsidRPr="44CF2607" w:rsidR="4B8F0DB1">
        <w:rPr>
          <w:b w:val="1"/>
          <w:bCs w:val="1"/>
          <w:i w:val="1"/>
          <w:iCs w:val="1"/>
        </w:rPr>
        <w:t>Emmanuel Bajimi</w:t>
      </w:r>
    </w:p>
    <w:p w:rsidR="000B63F2" w:rsidP="44CF2607" w:rsidRDefault="000B63F2" w14:paraId="118A2530" w14:textId="77777777">
      <w:pPr>
        <w:spacing w:after="40"/>
        <w:rPr>
          <w:i w:val="1"/>
          <w:iCs w:val="1"/>
        </w:rPr>
      </w:pPr>
      <w:r w:rsidRPr="44CF2607" w:rsidR="000B63F2">
        <w:rPr>
          <w:i w:val="1"/>
          <w:iCs w:val="1"/>
        </w:rPr>
        <w:t xml:space="preserve">Department </w:t>
      </w:r>
      <w:sdt>
        <w:sdtPr>
          <w:id w:val="696852563"/>
          <w15:appearance w15:val="hidden"/>
          <w:tag w:val="tii-similarity-U1VCTUlUVEVEX1dPUktfb2lkOjI6NjA2MDYyMDUw"/>
          <w:placeholder>
            <w:docPart w:val="DefaultPlaceholder_-1854013440"/>
          </w:placeholder>
        </w:sdtPr>
        <w:sdtContent>
          <w:r w:rsidRPr="44CF2607" w:rsidR="000B63F2">
            <w:rPr>
              <w:b w:val="0"/>
              <w:bCs w:val="0"/>
              <w:i w:val="1"/>
              <w:iCs w:val="1"/>
            </w:rPr>
            <w:t>of Computing, Engineering &amp; Intelligent Systems</w:t>
          </w:r>
        </w:sdtContent>
      </w:sdt>
    </w:p>
    <w:p w:rsidR="000B63F2" w:rsidP="000B63F2" w:rsidRDefault="000B63F2" w14:paraId="7BC1633F" w14:textId="77777777">
      <w:pPr>
        <w:spacing w:after="40"/>
      </w:pPr>
      <w:sdt>
        <w:sdtPr>
          <w:id w:val="966103597"/>
          <w15:appearance w15:val="hidden"/>
          <w:tag w:val="tii-similarity-U1VCTUlUVEVEX1dPUktfb2lkOjI6NjA2MDYyMDUw"/>
          <w:placeholder>
            <w:docPart w:val="DefaultPlaceholder_-1854013440"/>
          </w:placeholder>
        </w:sdtPr>
        <w:sdtContent>
          <w:r w:rsidRPr="44CF2607" w:rsidR="000B63F2">
            <w:rPr>
              <w:b w:val="0"/>
              <w:bCs w:val="0"/>
              <w:i w:val="1"/>
              <w:iCs w:val="1"/>
            </w:rPr>
            <w:t>Ulster University, Derry/Londonderry, Northern Ireland</w:t>
          </w:r>
        </w:sdtContent>
      </w:sdt>
      <w:r w:rsidRPr="44CF2607" w:rsidR="000B63F2">
        <w:rPr>
          <w:i w:val="1"/>
          <w:iCs w:val="1"/>
        </w:rPr>
        <w:t>, UK</w:t>
      </w:r>
    </w:p>
    <w:p w:rsidR="000B63F2" w:rsidP="44CF2607" w:rsidRDefault="000B63F2" w14:paraId="45096CA9" w14:textId="273FEE26">
      <w:pPr>
        <w:spacing w:after="180"/>
        <w:rPr>
          <w:i w:val="1"/>
          <w:iCs w:val="1"/>
        </w:rPr>
      </w:pPr>
      <w:r w:rsidRPr="44CF2607" w:rsidR="01FDE97F">
        <w:rPr>
          <w:i w:val="1"/>
          <w:iCs w:val="1"/>
        </w:rPr>
        <w:t>Bajimi-e</w:t>
      </w:r>
      <w:r w:rsidRPr="44CF2607" w:rsidR="000B63F2">
        <w:rPr>
          <w:i w:val="1"/>
          <w:iCs w:val="1"/>
        </w:rPr>
        <w:t>@</w:t>
      </w:r>
      <w:sdt>
        <w:sdtPr>
          <w:id w:val="1749393720"/>
          <w15:appearance w15:val="hidden"/>
          <w:tag w:val="tii-similarity-U1VCTUlUVEVEX1dPUktfb2lkOjI6NjA2MDYyMDUw"/>
          <w:placeholder>
            <w:docPart w:val="DefaultPlaceholder_-1854013440"/>
          </w:placeholder>
        </w:sdtPr>
        <w:sdtContent>
          <w:r w:rsidRPr="44CF2607" w:rsidR="000B63F2">
            <w:rPr>
              <w:b w:val="0"/>
              <w:bCs w:val="0"/>
              <w:i w:val="1"/>
              <w:iCs w:val="1"/>
            </w:rPr>
            <w:t>ulster.ac.uk</w:t>
          </w:r>
        </w:sdtContent>
      </w:sdt>
    </w:p>
    <w:p w:rsidR="008A55B5" w:rsidRDefault="008A55B5" w14:paraId="4FFD2207" w14:textId="77777777">
      <w:pPr>
        <w:pStyle w:val="Affiliation"/>
        <w:rPr>
          <w:rFonts w:eastAsia="MS Mincho"/>
        </w:rPr>
      </w:pPr>
    </w:p>
    <w:p w:rsidR="008A55B5" w:rsidRDefault="008A55B5" w14:paraId="3D0F397D" w14:textId="77777777">
      <w:pPr>
        <w:rPr>
          <w:rFonts w:eastAsia="MS Mincho"/>
        </w:rPr>
      </w:pPr>
    </w:p>
    <w:p w:rsidR="008A55B5" w:rsidRDefault="008A55B5" w14:paraId="0C1D4D2D" w14:textId="77777777">
      <w:pPr>
        <w:rPr>
          <w:rFonts w:eastAsia="MS Mincho"/>
        </w:rPr>
        <w:sectPr w:rsidR="008A55B5" w:rsidSect="003E45CF">
          <w:type w:val="continuous"/>
          <w:pgSz w:w="11909" w:h="16834" w:orient="portrait" w:code="9"/>
          <w:pgMar w:top="1080" w:right="659" w:bottom="2434" w:left="734" w:header="720" w:footer="720" w:gutter="0"/>
          <w:cols w:space="720"/>
          <w:docGrid w:linePitch="360"/>
        </w:sectPr>
      </w:pPr>
    </w:p>
    <w:p w:rsidR="008A55B5" w:rsidRDefault="008A55B5" w14:paraId="5B2665E0" w14:textId="64266644">
      <w:pPr>
        <w:pStyle w:val="Abstract"/>
        <w:rPr>
          <w:rFonts w:eastAsia="MS Mincho"/>
        </w:rPr>
      </w:pPr>
      <w:sdt>
        <w:sdtPr>
          <w:id w:val="632603358"/>
          <w15:appearance w15:val="hidden"/>
          <w:tag w:val="tii-similarity-U1VCTUlUVEVEX1dPUktfb2lkOjI6NjA2MDYyMDUw"/>
          <w:placeholder>
            <w:docPart w:val="DefaultPlaceholder_-1854013440"/>
          </w:placeholder>
        </w:sdtPr>
        <w:sdtContent>
          <w:r w:rsidRPr="44CF2607" w:rsidR="008A55B5">
            <w:rPr>
              <w:rFonts w:eastAsia="MS Mincho"/>
              <w:b w:val="0"/>
              <w:bCs w:val="0"/>
              <w:i w:val="1"/>
              <w:iCs w:val="1"/>
            </w:rPr>
            <w:t>Abstract</w:t>
          </w:r>
          <w:r w:rsidRPr="44CF2607" w:rsidR="008A55B5">
            <w:rPr>
              <w:rFonts w:eastAsia="MS Mincho"/>
              <w:b w:val="0"/>
              <w:bCs w:val="0"/>
            </w:rPr>
            <w:t>—</w:t>
          </w:r>
          <w:r w:rsidR="000B63F2">
            <w:rPr>
              <w:b w:val="0"/>
              <w:bCs w:val="0"/>
            </w:rPr>
            <w:t>This paper</w:t>
          </w:r>
        </w:sdtContent>
      </w:sdt>
      <w:r w:rsidR="000B63F2">
        <w:rPr/>
        <w:t xml:space="preserve"> presents a machine learning pipeline for the economical binary classification of Alzheimer's disease and mild cognitive impairment (</w:t>
      </w:r>
      <w:bookmarkStart w:name="_Int_0dl0zp7g" w:id="34169523"/>
      <w:r w:rsidR="000B63F2">
        <w:rPr/>
        <w:t>Non-HC</w:t>
      </w:r>
      <w:bookmarkEnd w:id="34169523"/>
      <w:r w:rsidR="000B63F2">
        <w:rPr/>
        <w:t xml:space="preserve">) versus </w:t>
      </w:r>
      <w:sdt>
        <w:sdtPr>
          <w:id w:val="416582887"/>
          <w15:appearance w15:val="hidden"/>
          <w:tag w:val="tii-similarity-SU5URVJORVRfd3d3LmFuemN0ci5vcmcuYXU="/>
          <w:placeholder>
            <w:docPart w:val="DefaultPlaceholder_-1854013440"/>
          </w:placeholder>
        </w:sdtPr>
        <w:sdtContent>
          <w:r w:rsidR="000B63F2">
            <w:rPr>
              <w:b w:val="0"/>
              <w:bCs w:val="0"/>
            </w:rPr>
            <w:t>healthy controls (HC</w:t>
          </w:r>
        </w:sdtContent>
      </w:sdt>
      <w:r w:rsidR="000B63F2">
        <w:rPr/>
        <w:t xml:space="preserve">) using the Australian Imaging Biomarkers and Lifestyle (AIBL) baseline dataset. Four classifiers—Random Forest, k-Nearest </w:t>
      </w:r>
      <w:r w:rsidR="000B63F2">
        <w:rPr/>
        <w:t>Neighbours</w:t>
      </w:r>
      <w:r w:rsidR="000B63F2">
        <w:rPr/>
        <w:t xml:space="preserve"> (</w:t>
      </w:r>
      <w:r w:rsidR="000B63F2">
        <w:rPr/>
        <w:t>kNN</w:t>
      </w:r>
      <w:r w:rsidR="000B63F2">
        <w:rPr/>
        <w:t xml:space="preserve">), Gradient Boosting (GBM), and Naive Bayes—are evaluated after applying </w:t>
      </w:r>
      <w:r w:rsidR="000B63F2">
        <w:rPr/>
        <w:t>kNN</w:t>
      </w:r>
      <w:r w:rsidR="000B63F2">
        <w:rPr/>
        <w:t xml:space="preserve"> imputation for missing data, IQR-based outlier capping, and ROSE class balancing. Recursive Feature Elimination (RFE) objectively </w:t>
      </w:r>
      <w:r w:rsidR="000B63F2">
        <w:rPr/>
        <w:t>identifies</w:t>
      </w:r>
      <w:r w:rsidR="000B63F2">
        <w:rPr/>
        <w:t xml:space="preserve"> the </w:t>
      </w:r>
      <w:r w:rsidR="000B63F2">
        <w:rPr/>
        <w:t>minimum</w:t>
      </w:r>
      <w:r w:rsidR="000B63F2">
        <w:rPr/>
        <w:t xml:space="preserve"> feature subset </w:t>
      </w:r>
      <w:r w:rsidR="000B63F2">
        <w:rPr/>
        <w:t>required</w:t>
      </w:r>
      <w:r w:rsidR="000B63F2">
        <w:rPr/>
        <w:t xml:space="preserve"> for near-peak diagnostic performance, supporting a cost-effective clinical screening pathway. Naive Bayes achieved the highest AUC of 98.41</w:t>
      </w:r>
      <w:r w:rsidR="000B63F2">
        <w:rPr/>
        <w:t xml:space="preserve"> percent</w:t>
      </w:r>
      <w:r w:rsidR="16810298">
        <w:rPr/>
        <w:t>. Config</w:t>
      </w:r>
      <w:r w:rsidR="000B63F2">
        <w:rPr/>
        <w:t xml:space="preserve"> A (4 cognitive features) matched the full-model AUC at 98.43</w:t>
      </w:r>
      <w:r w:rsidR="000B63F2">
        <w:rPr/>
        <w:t xml:space="preserve"> </w:t>
      </w:r>
      <w:r w:rsidR="39D94F24">
        <w:rPr/>
        <w:t>percent,</w:t>
      </w:r>
      <w:r w:rsidR="000B63F2">
        <w:rPr/>
        <w:t xml:space="preserve"> confirming that expensive blood and genomic tests are unnecessary for first-line screening</w:t>
      </w:r>
      <w:r w:rsidR="000B63F2">
        <w:rPr/>
        <w:t>.</w:t>
      </w:r>
    </w:p>
    <w:p w:rsidRPr="000B63F2" w:rsidR="008A55B5" w:rsidP="000B63F2" w:rsidRDefault="0072064C" w14:paraId="6B1F3ADB" w14:textId="1181E5E0">
      <w:pPr>
        <w:spacing w:after="60"/>
        <w:jc w:val="both"/>
      </w:pPr>
      <w:r w:rsidRPr="44CF2607" w:rsidR="0072064C">
        <w:rPr>
          <w:rFonts w:eastAsia="MS Mincho"/>
        </w:rPr>
        <w:t>Keywords—</w:t>
      </w:r>
      <w:r w:rsidRPr="44CF2607" w:rsidR="000B63F2">
        <w:rPr>
          <w:rFonts w:eastAsia="MS Mincho"/>
        </w:rPr>
        <w:t xml:space="preserve"> </w:t>
      </w:r>
      <w:r w:rsidRPr="44CF2607" w:rsidR="000B63F2">
        <w:rPr>
          <w:rFonts w:eastAsia="MS Mincho"/>
          <w:b w:val="1"/>
          <w:bCs w:val="1"/>
          <w:i w:val="1"/>
          <w:iCs w:val="1"/>
        </w:rPr>
        <w:t xml:space="preserve">AIBL; </w:t>
      </w:r>
      <w:r w:rsidRPr="44CF2607" w:rsidR="71807A8C">
        <w:rPr>
          <w:b w:val="1"/>
          <w:bCs w:val="1"/>
          <w:i w:val="1"/>
          <w:iCs w:val="1"/>
        </w:rPr>
        <w:t>Alzheimer's</w:t>
      </w:r>
      <w:r w:rsidRPr="44CF2607" w:rsidR="000B63F2">
        <w:rPr>
          <w:b w:val="1"/>
          <w:bCs w:val="1"/>
          <w:i w:val="1"/>
          <w:iCs w:val="1"/>
        </w:rPr>
        <w:t xml:space="preserve"> disease; machine learning; feature selection; RFE; class imbalance; economical diagnosis.</w:t>
      </w:r>
    </w:p>
    <w:p w:rsidRPr="001C56E0" w:rsidR="008A55B5" w:rsidP="005035AE" w:rsidRDefault="008A55B5" w14:paraId="2821E6C3" w14:textId="769BB849">
      <w:pPr>
        <w:pStyle w:val="dan1"/>
      </w:pPr>
      <w:r w:rsidRPr="001C56E0">
        <w:t xml:space="preserve"> Introduction </w:t>
      </w:r>
    </w:p>
    <w:p w:rsidRPr="001C56E0" w:rsidR="003E45CF" w:rsidP="003E45CF" w:rsidRDefault="003E45CF" w14:paraId="6D361F4E" w14:textId="11267E0F">
      <w:pPr>
        <w:spacing w:after="80"/>
        <w:ind w:firstLine="432"/>
        <w:jc w:val="both"/>
      </w:pPr>
      <w:r w:rsidRPr="44CF2607" w:rsidR="003E45CF">
        <w:rPr>
          <w:smallCaps w:val="1"/>
        </w:rPr>
        <w:t>D</w:t>
      </w:r>
      <w:r w:rsidR="003E45CF">
        <w:rPr/>
        <w:t xml:space="preserve">ementia </w:t>
      </w:r>
      <w:sdt>
        <w:sdtPr>
          <w:id w:val="298479461"/>
          <w15:appearance w15:val="hidden"/>
          <w:tag w:val="tii-similarity-SU5URVJORVRfbmV3LmVzcC5vcmc="/>
          <w:placeholder>
            <w:docPart w:val="DefaultPlaceholder_-1854013440"/>
          </w:placeholder>
        </w:sdtPr>
        <w:sdtContent>
          <w:r w:rsidR="003E45CF">
            <w:rPr>
              <w:b w:val="0"/>
              <w:bCs w:val="0"/>
            </w:rPr>
            <w:t>affects over 55 million people globally, with Alzheimer’s</w:t>
          </w:r>
        </w:sdtContent>
      </w:sdt>
      <w:r w:rsidR="003E45CF">
        <w:rPr/>
        <w:t xml:space="preserve"> </w:t>
      </w:r>
      <w:sdt>
        <w:sdtPr>
          <w:id w:val="528410998"/>
          <w15:appearance w15:val="hidden"/>
          <w:tag w:val="tii-similarity-SU5URVJORVRfbmV3LmVzcC5vcmc="/>
          <w:placeholder>
            <w:docPart w:val="DefaultPlaceholder_-1854013440"/>
          </w:placeholder>
        </w:sdtPr>
        <w:sdtContent>
          <w:r w:rsidR="003E45CF">
            <w:rPr>
              <w:b w:val="0"/>
              <w:bCs w:val="0"/>
            </w:rPr>
            <w:t>disease accounting for 60–70% of cases</w:t>
          </w:r>
        </w:sdtContent>
      </w:sdt>
      <w:r w:rsidR="003E45CF">
        <w:rPr/>
        <w:t xml:space="preserve"> [1]. Early, affordable screening is critical, as timely identification opens a window for interventions that delay cognitive decline. The Australian Imaging Biomarkers and </w:t>
      </w:r>
      <w:sdt>
        <w:sdtPr>
          <w:id w:val="2077224178"/>
          <w15:appearance w15:val="hidden"/>
          <w:tag w:val="tii-similarity-SU5URVJORVRfb25saW5lbGlicmFyeS53aWxleS5jb20="/>
          <w:placeholder>
            <w:docPart w:val="DefaultPlaceholder_-1854013440"/>
          </w:placeholder>
        </w:sdtPr>
        <w:sdtContent>
          <w:r w:rsidR="003E45CF">
            <w:rPr/>
            <w:t>Lifestyle (AIBL) study</w:t>
          </w:r>
        </w:sdtContent>
      </w:sdt>
      <w:r w:rsidR="003E45CF">
        <w:rPr/>
        <w:t xml:space="preserve"> provides a multimodal baseline dataset of 862 participants classified </w:t>
      </w:r>
      <w:sdt>
        <w:sdtPr>
          <w:id w:val="2117753185"/>
          <w15:appearance w15:val="hidden"/>
          <w:tag w:val="tii-similarity-SU5URVJORVRfZWJpbi5wdWI="/>
          <w:placeholder>
            <w:docPart w:val="DefaultPlaceholder_-1854013440"/>
          </w:placeholder>
        </w:sdtPr>
        <w:sdtContent>
          <w:r w:rsidR="003E45CF">
            <w:rPr>
              <w:b w:val="0"/>
              <w:bCs w:val="0"/>
            </w:rPr>
            <w:t>as Healthy Control (HC), Mild Cognitive</w:t>
          </w:r>
        </w:sdtContent>
      </w:sdt>
      <w:r w:rsidR="003E45CF">
        <w:rPr/>
        <w:t xml:space="preserve"> </w:t>
      </w:r>
      <w:sdt>
        <w:sdtPr>
          <w:id w:val="1723398628"/>
          <w15:appearance w15:val="hidden"/>
          <w:tag w:val="tii-similarity-SU5URVJORVRfZWJpbi5wdWI="/>
          <w:placeholder>
            <w:docPart w:val="DefaultPlaceholder_-1854013440"/>
          </w:placeholder>
        </w:sdtPr>
        <w:sdtContent>
          <w:r w:rsidR="003E45CF">
            <w:rPr>
              <w:b w:val="0"/>
              <w:bCs w:val="0"/>
            </w:rPr>
            <w:t>Impairment (MCI</w:t>
          </w:r>
        </w:sdtContent>
      </w:sdt>
      <w:r w:rsidR="003E45CF">
        <w:rPr/>
        <w:t>), or Alzheimer’s disease [2].</w:t>
      </w:r>
    </w:p>
    <w:p w:rsidRPr="001C56E0" w:rsidR="003E45CF" w:rsidP="003E45CF" w:rsidRDefault="003E45CF" w14:paraId="505BEE98" w14:textId="77777777">
      <w:pPr>
        <w:spacing w:after="80"/>
        <w:ind w:firstLine="432"/>
        <w:jc w:val="both"/>
      </w:pPr>
      <w:r w:rsidRPr="001C56E0">
        <w:t>Prior studies using the AIBL dataset have frequently benchmarked classifiers across all available features or relied on manually curated, domain-knowledge-driven feature subsets. While informative, such approaches do not provide an objective, data-driven answer to the question of how few features are genuinely required for clinically adequate predictive performance [3, 4]. This study addresses that gap directly.</w:t>
      </w:r>
    </w:p>
    <w:p w:rsidRPr="001C56E0" w:rsidR="003E45CF" w:rsidP="003E45CF" w:rsidRDefault="003E45CF" w14:paraId="71DD0F6A" w14:textId="77777777">
      <w:pPr>
        <w:spacing w:after="80"/>
        <w:ind w:firstLine="432"/>
        <w:jc w:val="both"/>
      </w:pPr>
      <w:r w:rsidR="003E45CF">
        <w:rPr/>
        <w:t xml:space="preserve">The three-class problem is re-framed as binary (HC vs </w:t>
      </w:r>
      <w:bookmarkStart w:name="_Int_rSCL2jIM" w:id="985220446"/>
      <w:r w:rsidR="003E45CF">
        <w:rPr/>
        <w:t>Non-HC</w:t>
      </w:r>
      <w:bookmarkEnd w:id="985220446"/>
      <w:r w:rsidR="003E45CF">
        <w:rPr/>
        <w:t xml:space="preserve">, combining MCI and AD) to reflect the practical first-line screening decision clinicians face: is this patient cognitively healthy or not? The key methodological </w:t>
      </w:r>
      <w:r w:rsidR="003E45CF">
        <w:rPr/>
        <w:t>contribution is the application of Recursive Feature Elimination (RFE) to objectively determine the minimum feature set necessary for near-peak diagnostic performance, providing an evidence-based foundation for a tiered, economical clinical pathway.</w:t>
      </w:r>
    </w:p>
    <w:p w:rsidRPr="001C56E0" w:rsidR="008A55B5" w:rsidP="00753F7B" w:rsidRDefault="008A55B5" w14:paraId="379E7C6A" w14:textId="48A53950">
      <w:pPr>
        <w:pStyle w:val="BodyText"/>
      </w:pPr>
    </w:p>
    <w:p w:rsidRPr="001C56E0" w:rsidR="008A55B5" w:rsidP="00CB1404" w:rsidRDefault="003E45CF" w14:paraId="5617C37A" w14:textId="2F51E645">
      <w:pPr>
        <w:pStyle w:val="Heading1"/>
      </w:pPr>
      <w:r w:rsidRPr="001C56E0">
        <w:t>Materials and methods</w:t>
      </w:r>
    </w:p>
    <w:p w:rsidRPr="001C56E0" w:rsidR="008A55B5" w:rsidP="00EF3A1A" w:rsidRDefault="003E45CF" w14:paraId="68B2F868" w14:textId="60F901CB">
      <w:pPr>
        <w:pStyle w:val="Heading2"/>
      </w:pPr>
      <w:r w:rsidRPr="001C56E0">
        <w:t>Dataset</w:t>
      </w:r>
    </w:p>
    <w:p w:rsidRPr="001C56E0" w:rsidR="003E45CF" w:rsidP="003E45CF" w:rsidRDefault="003E45CF" w14:paraId="3613427F" w14:textId="1734F0C4">
      <w:pPr>
        <w:spacing w:after="80"/>
        <w:ind w:firstLine="432"/>
        <w:jc w:val="both"/>
      </w:pPr>
      <w:r w:rsidRPr="001C56E0">
        <w:t>Only baseline visits (VISCODE = ‘bl’) are retained, yielding 628 participants: 447 HC and 181 Non-HC. Features span four cost tiers: demographic (age, gender), medical history (10 binary comorbidities), ApoE genotype (2 alleles), blood laboratory values (12 biomarkers), and cognitive assessments (CDR, MMSE, LMIR, LMDR) — 29 predictors in total.</w:t>
      </w:r>
    </w:p>
    <w:p w:rsidRPr="001C56E0" w:rsidR="008A55B5" w:rsidP="00753F7B" w:rsidRDefault="008A55B5" w14:paraId="34F0ACDC" w14:textId="1BEACDF7">
      <w:pPr>
        <w:pStyle w:val="BodyText"/>
      </w:pPr>
    </w:p>
    <w:p w:rsidRPr="001C56E0" w:rsidR="008A55B5" w:rsidP="00EF3A1A" w:rsidRDefault="003E45CF" w14:paraId="10245029" w14:textId="560B763B">
      <w:pPr>
        <w:pStyle w:val="Heading2"/>
      </w:pPr>
      <w:r w:rsidRPr="001C56E0">
        <w:rPr>
          <w:rFonts w:eastAsia="Times New Roman"/>
          <w:i w:val="0"/>
          <w:iCs w:val="0"/>
        </w:rPr>
        <w:t>Pre-processing</w:t>
      </w:r>
    </w:p>
    <w:p w:rsidRPr="001C56E0" w:rsidR="003E45CF" w:rsidP="003E45CF" w:rsidRDefault="003E45CF" w14:paraId="28593F84" w14:textId="708F6E9D">
      <w:pPr>
        <w:spacing w:after="80"/>
        <w:ind w:firstLine="432"/>
        <w:jc w:val="both"/>
      </w:pPr>
      <w:r w:rsidR="003E45CF">
        <w:rPr/>
        <w:t xml:space="preserve">Missing values encoded as −4 were replaced with NA. </w:t>
      </w:r>
      <w:r w:rsidR="003E45CF">
        <w:rPr/>
        <w:t>kNN</w:t>
      </w:r>
      <w:r w:rsidR="003E45CF">
        <w:rPr/>
        <w:t xml:space="preserve"> imputation (k=5) was applied to all numeric features [5], preserving local data structure by filling each missing entry from the five most similar participants—preferable to global mean substitution when missingness is not completely at random. Gender was imputed by mode. Blood biomarkers were outlier-capped using the IQR fence rule, </w:t>
      </w:r>
      <w:r w:rsidR="003E45CF">
        <w:rPr/>
        <w:t>retaining</w:t>
      </w:r>
      <w:r w:rsidR="003E45CF">
        <w:rPr/>
        <w:t xml:space="preserve"> all 628 participants. The dataset was </w:t>
      </w:r>
      <w:r w:rsidR="4120086C">
        <w:rPr/>
        <w:t>split into</w:t>
      </w:r>
      <w:r w:rsidR="003E45CF">
        <w:rPr/>
        <w:t xml:space="preserve"> 75/25 stratified. The 71:29 training imbalance was corrected using ROSE, which </w:t>
      </w:r>
      <w:r w:rsidR="003E45CF">
        <w:rPr/>
        <w:t>synthesises</w:t>
      </w:r>
      <w:r w:rsidR="003E45CF">
        <w:rPr/>
        <w:t xml:space="preserve"> balanced samples via a smoothed bootstrap procedure [6, 7].</w:t>
      </w:r>
    </w:p>
    <w:p w:rsidRPr="001C56E0" w:rsidR="003E45CF" w:rsidP="003E45CF" w:rsidRDefault="003E45CF" w14:paraId="21CCD564" w14:textId="714FD7F3">
      <w:pPr>
        <w:pStyle w:val="Heading2"/>
      </w:pPr>
      <w:r w:rsidRPr="001C56E0">
        <w:t>Exploratory Data Analysis</w:t>
      </w:r>
    </w:p>
    <w:p w:rsidRPr="001C56E0" w:rsidR="003E45CF" w:rsidP="003E45CF" w:rsidRDefault="003E45CF" w14:paraId="357D58A1" w14:textId="30989976">
      <w:pPr>
        <w:spacing w:after="80"/>
        <w:ind w:firstLine="432"/>
        <w:jc w:val="both"/>
      </w:pPr>
      <w:r w:rsidR="003E45CF">
        <w:rPr/>
        <w:t xml:space="preserve">A pairwise cognitive score plot revealed strong negative correlations between CDR and MMSE and logical memory scores. A correlation matrix confirmed pronounced multicollinearity among </w:t>
      </w:r>
      <w:r w:rsidR="7877AAB2">
        <w:rPr/>
        <w:t>hematological</w:t>
      </w:r>
      <w:r w:rsidR="003E45CF">
        <w:rPr/>
        <w:t xml:space="preserve"> markers, motivating feature selection. A medical history heatmap showed modest between-class differences in cardiovascular comorbidities.</w:t>
      </w:r>
    </w:p>
    <w:p w:rsidRPr="001C56E0" w:rsidR="003E45CF" w:rsidP="003E45CF" w:rsidRDefault="003E45CF" w14:paraId="3E148D4B" w14:textId="252D817F">
      <w:pPr>
        <w:pStyle w:val="Heading2"/>
      </w:pPr>
      <w:r w:rsidRPr="001C56E0">
        <w:lastRenderedPageBreak/>
        <w:t>PCA</w:t>
      </w:r>
    </w:p>
    <w:p w:rsidRPr="001C56E0" w:rsidR="003E45CF" w:rsidP="003E45CF" w:rsidRDefault="003E45CF" w14:paraId="40E37DE7" w14:textId="6F0B242B">
      <w:pPr>
        <w:spacing w:after="80"/>
        <w:ind w:firstLine="432"/>
        <w:jc w:val="both"/>
      </w:pPr>
      <w:r w:rsidR="003E45CF">
        <w:rPr/>
        <w:t xml:space="preserve">Principal Component Analysis was applied to the complete 29-feature set after </w:t>
      </w:r>
      <w:r w:rsidR="166A761C">
        <w:rPr/>
        <w:t>standardization</w:t>
      </w:r>
      <w:r w:rsidR="003E45CF">
        <w:rPr/>
        <w:t xml:space="preserve"> (zero mean, unit variance). The resulting scree plot </w:t>
      </w:r>
      <w:r w:rsidR="003E45CF">
        <w:rPr/>
        <w:t>indicated</w:t>
      </w:r>
      <w:r w:rsidR="003E45CF">
        <w:rPr/>
        <w:t xml:space="preserve"> that the first three principal components collectively explain approximately 40% of total variance, with a pronounced elbow after the first </w:t>
      </w:r>
      <w:r w:rsidR="003E45CF">
        <w:rPr/>
        <w:t>component</w:t>
      </w:r>
      <w:r w:rsidR="003E45CF">
        <w:rPr/>
        <w:t xml:space="preserve">, </w:t>
      </w:r>
      <w:r w:rsidR="76631565">
        <w:rPr/>
        <w:t>signaling</w:t>
      </w:r>
      <w:r w:rsidR="003E45CF">
        <w:rPr/>
        <w:t xml:space="preserve"> that a small number of latent dimensions captures most discriminative signal.</w:t>
      </w:r>
    </w:p>
    <w:p w:rsidRPr="001C56E0" w:rsidR="003E45CF" w:rsidP="003E45CF" w:rsidRDefault="003E45CF" w14:paraId="7261E912" w14:textId="49EDE899">
      <w:pPr>
        <w:spacing w:after="80"/>
        <w:ind w:firstLine="432"/>
        <w:jc w:val="both"/>
      </w:pPr>
      <w:r w:rsidR="003E45CF">
        <w:rPr/>
        <w:t>The PC1–PC2 biplot (Fig. 1) reveals partial class separation between HC and Non</w:t>
      </w:r>
      <w:r w:rsidR="6024804E">
        <w:rPr/>
        <w:t>-</w:t>
      </w:r>
      <w:r w:rsidR="003E45CF">
        <w:rPr/>
        <w:t xml:space="preserve">HC clusters, with cognitive score loadings dominating PC1 and </w:t>
      </w:r>
      <w:r w:rsidR="281368EB">
        <w:rPr/>
        <w:t>hematological</w:t>
      </w:r>
      <w:r w:rsidR="003E45CF">
        <w:rPr/>
        <w:t xml:space="preserve"> markers loading heterogeneously on PC2. A notable column of points near PC1 ≈ 5 in the supplementary biplot (Fig. A4) is attributable to a single categorical feature contributing a dominant, constant </w:t>
      </w:r>
      <w:r w:rsidR="003E45CF">
        <w:rPr/>
        <w:t>component</w:t>
      </w:r>
      <w:r w:rsidR="003E45CF">
        <w:rPr/>
        <w:t xml:space="preserve"> weight.</w:t>
      </w:r>
    </w:p>
    <w:p w:rsidRPr="001C56E0" w:rsidR="003E45CF" w:rsidP="003E45CF" w:rsidRDefault="000B63F2" w14:paraId="313755CB" w14:textId="0AB42952">
      <w:pPr>
        <w:spacing w:before="120" w:after="60"/>
      </w:pPr>
      <w:r w:rsidRPr="001C56E0">
        <w:rPr>
          <w:noProof/>
        </w:rPr>
        <w:drawing>
          <wp:inline distT="0" distB="0" distL="0" distR="0" wp14:anchorId="79880EFA" wp14:editId="6B17CA2E">
            <wp:extent cx="2093977" cy="1570483"/>
            <wp:effectExtent l="0" t="0" r="0" b="0"/>
            <wp:docPr id="31" name="/home/claud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3595" cy="1570355"/>
                    </a:xfrm>
                    <a:prstGeom prst="rect">
                      <a:avLst/>
                    </a:prstGeom>
                  </pic:spPr>
                </pic:pic>
              </a:graphicData>
            </a:graphic>
          </wp:inline>
        </w:drawing>
      </w:r>
    </w:p>
    <w:p w:rsidRPr="001C56E0" w:rsidR="003E45CF" w:rsidP="003E45CF" w:rsidRDefault="003E45CF" w14:paraId="32E32922" w14:textId="77777777">
      <w:pPr>
        <w:spacing w:before="60" w:after="120"/>
      </w:pPr>
      <w:r w:rsidRPr="001C56E0">
        <w:rPr>
          <w:i/>
          <w:iCs/>
        </w:rPr>
        <w:t>Fig. 1.  PCA biplot (PC1 vs PC2). Ellipses show 95% confidence regions for HC (green) and NonHC (orange).</w:t>
      </w:r>
    </w:p>
    <w:p w:rsidRPr="001C56E0" w:rsidR="008A55B5" w:rsidP="003E45CF" w:rsidRDefault="003E45CF" w14:paraId="5C23FF5F" w14:textId="25CA5BD0">
      <w:pPr>
        <w:pStyle w:val="Heading2"/>
      </w:pPr>
      <w:r w:rsidRPr="001C56E0">
        <w:t xml:space="preserve">Classifiers </w:t>
      </w:r>
    </w:p>
    <w:p w:rsidRPr="001C56E0" w:rsidR="003E45CF" w:rsidP="003E45CF" w:rsidRDefault="003E45CF" w14:paraId="002B7EDF" w14:textId="64165DCD">
      <w:pPr>
        <w:spacing w:after="80"/>
        <w:ind w:firstLine="432"/>
        <w:jc w:val="both"/>
      </w:pPr>
      <w:r w:rsidR="003E45CF">
        <w:rPr/>
        <w:t xml:space="preserve">Four classifiers were trained on the ROSE-balanced training set under a rigorous </w:t>
      </w:r>
      <w:sdt>
        <w:sdtPr>
          <w:id w:val="577464719"/>
          <w15:appearance w15:val="hidden"/>
          <w:tag w:val="tii-similarity-SU5URVJORVRfc2hpcmxleXdhbmcucmJpbmQuaW8="/>
          <w:placeholder>
            <w:docPart w:val="DefaultPlaceholder_-1854013440"/>
          </w:placeholder>
        </w:sdtPr>
        <w:sdtContent>
          <w:r w:rsidR="003E45CF">
            <w:rPr/>
            <w:t>10-fold cross-validation</w:t>
          </w:r>
        </w:sdtContent>
      </w:sdt>
      <w:r w:rsidR="003E45CF">
        <w:rPr/>
        <w:t xml:space="preserve"> framework </w:t>
      </w:r>
      <w:sdt>
        <w:sdtPr>
          <w:id w:val="1298770414"/>
          <w15:appearance w15:val="hidden"/>
          <w:tag w:val="tii-similarity-SU5URVJORVRfc2hpcmxleXdhbmcucmJpbmQuaW8="/>
          <w:placeholder>
            <w:docPart w:val="DefaultPlaceholder_-1854013440"/>
          </w:placeholder>
        </w:sdtPr>
        <w:sdtContent>
          <w:r w:rsidR="003E45CF">
            <w:rPr/>
            <w:t>repeated three times</w:t>
          </w:r>
        </w:sdtContent>
      </w:sdt>
      <w:r w:rsidR="003E45CF">
        <w:rPr/>
        <w:t xml:space="preserve">, with AUC as the </w:t>
      </w:r>
      <w:r w:rsidR="3889E619">
        <w:rPr/>
        <w:t>optimization</w:t>
      </w:r>
      <w:r w:rsidR="003E45CF">
        <w:rPr/>
        <w:t xml:space="preserve"> metric. Random Forest (RF) was configured with 300 trees and tuned </w:t>
      </w:r>
      <w:r w:rsidR="003E45CF">
        <w:rPr/>
        <w:t>mtry</w:t>
      </w:r>
      <w:r w:rsidR="003E45CF">
        <w:rPr/>
        <w:t xml:space="preserve"> (number of features sampled at each split). The </w:t>
      </w:r>
      <w:sdt>
        <w:sdtPr>
          <w:id w:val="11693067"/>
          <w15:appearance w15:val="hidden"/>
          <w:tag w:val="tii-similarity-U1VCTUlUVEVEX1dPUktfb2lkOjI5NDU6MzgxMzc2MTM1"/>
          <w:placeholder>
            <w:docPart w:val="DefaultPlaceholder_-1854013440"/>
          </w:placeholder>
        </w:sdtPr>
        <w:sdtContent>
          <w:r w:rsidR="003E45CF">
            <w:rPr>
              <w:b w:val="0"/>
              <w:bCs w:val="0"/>
            </w:rPr>
            <w:t>kNN</w:t>
          </w:r>
          <w:r w:rsidR="003E45CF">
            <w:rPr>
              <w:b w:val="0"/>
              <w:bCs w:val="0"/>
            </w:rPr>
            <w:t xml:space="preserve"> classifier was</w:t>
          </w:r>
        </w:sdtContent>
      </w:sdt>
      <w:r w:rsidR="003E45CF">
        <w:rPr/>
        <w:t xml:space="preserve"> evaluated across seven candidate values of </w:t>
      </w:r>
      <w:sdt>
        <w:sdtPr>
          <w:id w:val="52860330"/>
          <w15:appearance w15:val="hidden"/>
          <w:tag w:val="tii-similarity-U1VCTUlUVEVEX1dPUktfb2lkOjI5NDU6MzgxMzc2MTM1"/>
          <w:placeholder>
            <w:docPart w:val="DefaultPlaceholder_-1854013440"/>
          </w:placeholder>
        </w:sdtPr>
        <w:sdtContent>
          <w:r w:rsidR="003E45CF">
            <w:rPr>
              <w:b w:val="0"/>
              <w:bCs w:val="0"/>
            </w:rPr>
            <w:t xml:space="preserve">k </w:t>
          </w:r>
          <w:r w:rsidRPr="44CF2607" w:rsidR="003E45CF">
            <w:rPr>
              <w:rFonts w:ascii="Cambria Math" w:hAnsi="Cambria Math" w:cs="Cambria Math"/>
              <w:b w:val="0"/>
              <w:bCs w:val="0"/>
            </w:rPr>
            <w:t>∈</w:t>
          </w:r>
          <w:r w:rsidR="003E45CF">
            <w:rPr>
              <w:b w:val="0"/>
              <w:bCs w:val="0"/>
            </w:rPr>
            <w:t xml:space="preserve"> {3, 5,</w:t>
          </w:r>
        </w:sdtContent>
      </w:sdt>
      <w:r w:rsidR="003E45CF">
        <w:rPr/>
        <w:t xml:space="preserve"> </w:t>
      </w:r>
      <w:sdt>
        <w:sdtPr>
          <w:id w:val="1235812590"/>
          <w15:appearance w15:val="hidden"/>
          <w:tag w:val="tii-similarity-U1VCTUlUVEVEX1dPUktfb2lkOjI5NDU6MzgxMzc2MTM1"/>
          <w:placeholder>
            <w:docPart w:val="DefaultPlaceholder_-1854013440"/>
          </w:placeholder>
        </w:sdtPr>
        <w:sdtContent>
          <w:r w:rsidR="003E45CF">
            <w:rPr>
              <w:b w:val="0"/>
              <w:bCs w:val="0"/>
            </w:rPr>
            <w:t>7, 9, 11</w:t>
          </w:r>
        </w:sdtContent>
      </w:sdt>
      <w:r w:rsidR="003E45CF">
        <w:rPr/>
        <w:t xml:space="preserve">, 15, 21}. Gradient Boosting (GBM) used a focused grid </w:t>
      </w:r>
      <w:r w:rsidR="003E45CF">
        <w:rPr/>
        <w:t>comprising</w:t>
      </w:r>
      <w:r w:rsidR="003E45CF">
        <w:rPr/>
        <w:t xml:space="preserve"> three values of </w:t>
      </w:r>
      <w:r w:rsidR="003E45CF">
        <w:rPr/>
        <w:t>nrounds</w:t>
      </w:r>
      <w:r w:rsidR="003E45CF">
        <w:rPr/>
        <w:t xml:space="preserve">, two tree depths, and two shrinkage rates. Naive Bayes was implemented via the </w:t>
      </w:r>
      <w:r w:rsidR="003E45CF">
        <w:rPr/>
        <w:t>klaR</w:t>
      </w:r>
      <w:r w:rsidR="003E45CF">
        <w:rPr/>
        <w:t xml:space="preserve"> package with Laplace smoothing tuned over the cross-validation grid. All classifiers applied </w:t>
      </w:r>
      <w:r w:rsidR="003E45CF">
        <w:rPr/>
        <w:t>centring</w:t>
      </w:r>
      <w:r w:rsidR="003E45CF">
        <w:rPr/>
        <w:t xml:space="preserve"> and scaling pre-processing </w:t>
      </w:r>
      <w:sdt>
        <w:sdtPr>
          <w:id w:val="1782001023"/>
          <w15:appearance w15:val="hidden"/>
          <w:tag w:val="tii-similarity-U1VCTUlUVEVEX1dPUktfb2lkOjI6ODQ0MTgxNzc3"/>
          <w:placeholder>
            <w:docPart w:val="DefaultPlaceholder_-1854013440"/>
          </w:placeholder>
        </w:sdtPr>
        <w:sdtContent>
          <w:r w:rsidR="003E45CF">
            <w:rPr/>
            <w:t>within each</w:t>
          </w:r>
        </w:sdtContent>
      </w:sdt>
      <w:r w:rsidR="003E45CF">
        <w:rPr/>
        <w:t xml:space="preserve"> CV </w:t>
      </w:r>
      <w:sdt>
        <w:sdtPr>
          <w:id w:val="1967311505"/>
          <w15:appearance w15:val="hidden"/>
          <w:tag w:val="tii-similarity-U1VCTUlUVEVEX1dPUktfb2lkOjI6ODQ0MTgxNzc3"/>
          <w:placeholder>
            <w:docPart w:val="DefaultPlaceholder_-1854013440"/>
          </w:placeholder>
        </w:sdtPr>
        <w:sdtContent>
          <w:r w:rsidR="003E45CF">
            <w:rPr/>
            <w:t>fold to prevent data leakage</w:t>
          </w:r>
        </w:sdtContent>
      </w:sdt>
      <w:r w:rsidR="003E45CF">
        <w:rPr/>
        <w:t xml:space="preserve"> from the held-out validation partitions.</w:t>
      </w:r>
    </w:p>
    <w:p w:rsidRPr="001C56E0" w:rsidR="003E45CF" w:rsidP="003E45CF" w:rsidRDefault="003E45CF" w14:paraId="36B2B08A" w14:textId="77777777"/>
    <w:p w:rsidRPr="001C56E0" w:rsidR="003E45CF" w:rsidP="003E45CF" w:rsidRDefault="003E45CF" w14:paraId="3728F79B" w14:textId="04F57B4E">
      <w:pPr>
        <w:pStyle w:val="Heading2"/>
      </w:pPr>
      <w:r w:rsidRPr="001C56E0">
        <w:t>RFE</w:t>
      </w:r>
    </w:p>
    <w:p w:rsidRPr="001C56E0" w:rsidR="003E45CF" w:rsidP="003E45CF" w:rsidRDefault="003E45CF" w14:paraId="6EDF2EC9" w14:textId="3A24BA54">
      <w:pPr>
        <w:spacing w:after="80"/>
        <w:ind w:firstLine="432"/>
        <w:jc w:val="both"/>
      </w:pPr>
      <w:r w:rsidR="003E45CF">
        <w:rPr/>
        <w:t xml:space="preserve">Recursive Feature Elimination with Random Forest as the base learner was executed under the same repeated 10-fold CV framework. RFE evaluates candidate subset sizes {2, 4, 6, 8, 10, 15, 20}, iteratively removing the least important variable at each step and recording cross-validated accuracy for each subset size [8]. The </w:t>
      </w:r>
      <w:r w:rsidR="003E45CF">
        <w:rPr/>
        <w:t>optimal</w:t>
      </w:r>
      <w:r w:rsidR="003E45CF">
        <w:rPr/>
        <w:t xml:space="preserve"> subset is </w:t>
      </w:r>
      <w:r w:rsidR="003E45CF">
        <w:rPr/>
        <w:t>identified</w:t>
      </w:r>
      <w:r w:rsidR="003E45CF">
        <w:rPr/>
        <w:t xml:space="preserve"> at the point where </w:t>
      </w:r>
      <w:r w:rsidR="2333A4C0">
        <w:rPr/>
        <w:t>accuracy of</w:t>
      </w:r>
      <w:r w:rsidR="003E45CF">
        <w:rPr/>
        <w:t xml:space="preserve"> plateaus, beyond which </w:t>
      </w:r>
      <w:r w:rsidR="003E45CF">
        <w:rPr/>
        <w:t>retaining</w:t>
      </w:r>
      <w:r w:rsidR="003E45CF">
        <w:rPr/>
        <w:t xml:space="preserve"> </w:t>
      </w:r>
      <w:r w:rsidR="003E45CF">
        <w:rPr/>
        <w:t>additional</w:t>
      </w:r>
      <w:r w:rsidR="003E45CF">
        <w:rPr/>
        <w:t xml:space="preserve"> features yields no meaningful benefit. This data-driven selection procedure is the central methodological contribution </w:t>
      </w:r>
      <w:r w:rsidR="003E45CF">
        <w:rPr/>
        <w:t>of this work, providing an objective and reproducible answer to the economical diagnosis question that is free from subjective domain pre-selection.</w:t>
      </w:r>
    </w:p>
    <w:p w:rsidRPr="001C56E0" w:rsidR="003E45CF" w:rsidP="003E45CF" w:rsidRDefault="003E45CF" w14:paraId="24E48C18" w14:textId="77777777"/>
    <w:p w:rsidRPr="001C56E0" w:rsidR="008A55B5" w:rsidP="00CB1404" w:rsidRDefault="003E45CF" w14:paraId="6C08CE7A" w14:textId="4A025B9D">
      <w:pPr>
        <w:pStyle w:val="Heading1"/>
      </w:pPr>
      <w:r w:rsidRPr="001C56E0">
        <w:t>RESULTS</w:t>
      </w:r>
    </w:p>
    <w:p w:rsidRPr="001C56E0" w:rsidR="003E45CF" w:rsidP="003E45CF" w:rsidRDefault="003E45CF" w14:paraId="5EE12D75" w14:textId="2EE2EF06">
      <w:pPr>
        <w:pStyle w:val="Heading2"/>
        <w:rPr/>
      </w:pPr>
      <w:r w:rsidR="003E45CF">
        <w:rPr/>
        <w:t xml:space="preserve">Full-Feature </w:t>
      </w:r>
      <w:sdt>
        <w:sdtPr>
          <w:id w:val="131546374"/>
          <w15:appearance w15:val="hidden"/>
          <w:tag w:val="tii-similarity-U1VCTUlUVEVEX1dPUktfb2lkOjE6MzUzMzAzODk2Nw=="/>
          <w:placeholder>
            <w:docPart w:val="DefaultPlaceholder_-1854013440"/>
          </w:placeholder>
        </w:sdtPr>
        <w:sdtContent>
          <w:r w:rsidR="003E45CF">
            <w:rPr>
              <w:b w:val="0"/>
              <w:bCs w:val="0"/>
            </w:rPr>
            <w:t>Model Comparison</w:t>
          </w:r>
        </w:sdtContent>
      </w:sdt>
    </w:p>
    <w:p w:rsidRPr="001C56E0" w:rsidR="003E45CF" w:rsidP="003E45CF" w:rsidRDefault="003E45CF" w14:paraId="7F99DBDC" w14:textId="77777777">
      <w:pPr>
        <w:spacing w:after="120"/>
        <w:jc w:val="both"/>
      </w:pPr>
      <w:sdt>
        <w:sdtPr>
          <w:id w:val="693893002"/>
          <w15:appearance w15:val="hidden"/>
          <w:tag w:val="tii-similarity-U1VCTUlUVEVEX1dPUktfb2lkOjE6MzUzMzAzODk2Nw=="/>
          <w:placeholder>
            <w:docPart w:val="DefaultPlaceholder_-1854013440"/>
          </w:placeholder>
        </w:sdtPr>
        <w:sdtContent>
          <w:r w:rsidR="003E45CF">
            <w:rPr>
              <w:b w:val="0"/>
              <w:bCs w:val="0"/>
            </w:rPr>
            <w:t>Table I presents</w:t>
          </w:r>
        </w:sdtContent>
      </w:sdt>
      <w:r w:rsidR="003E45CF">
        <w:rPr/>
        <w:t xml:space="preserve"> test-set performance for all four classifiers evaluated on the held-out 25% partition. Three of the four models achieved AUC exceeding 98%, demonstrating strong overall discrimination. Naive Bayes led at 98.41%, closely followed by GBM at 98.39% and RF at 98.37%, with differences of less than 0.05 percentage points separating the top three models. The kNN classifier lagged considerably at 93.80% AUC, with particularly poor sensitivity at 58.06%, indicating that it correctly identified fewer than six in ten NonHC cases. This deficiency is attributable to the locally imbalanced feature space: without dimensionality reduction, the distance metric used by kNN is diluted by irrelevant features, degrading nearest-neighbour quality despite ROSE balancing.</w:t>
      </w:r>
    </w:p>
    <w:p w:rsidRPr="001C56E0" w:rsidR="003E45CF" w:rsidP="003E45CF" w:rsidRDefault="003E45CF" w14:paraId="4C947883" w14:textId="77777777">
      <w:pPr>
        <w:spacing w:before="60" w:after="40"/>
        <w:ind w:left="315"/>
      </w:pPr>
      <w:r w:rsidRPr="001C56E0">
        <w:rPr>
          <w:b/>
          <w:bCs/>
          <w:smallCaps/>
        </w:rPr>
        <w:t>TABLE I.  Test Set Performance (%)</w:t>
      </w:r>
    </w:p>
    <w:tbl>
      <w:tblPr>
        <w:tblW w:w="4326" w:type="dxa"/>
        <w:tblInd w:w="2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33"/>
        <w:gridCol w:w="910"/>
        <w:gridCol w:w="910"/>
        <w:gridCol w:w="910"/>
        <w:gridCol w:w="910"/>
      </w:tblGrid>
      <w:tr w:rsidRPr="001C56E0" w:rsidR="003E45CF" w:rsidTr="001D63B4" w14:paraId="4D887CA8" w14:textId="77777777">
        <w:trPr>
          <w:trHeight w:val="165"/>
          <w:tblHeader/>
        </w:trPr>
        <w:tc>
          <w:tcPr>
            <w:tcW w:w="1223" w:type="pct"/>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76E02183" w14:textId="77777777">
            <w:pPr>
              <w:ind w:left="315"/>
            </w:pPr>
            <w:r w:rsidRPr="001C56E0">
              <w:rPr>
                <w:b/>
                <w:bCs/>
              </w:rPr>
              <w:t>Model</w:t>
            </w:r>
          </w:p>
        </w:tc>
        <w:tc>
          <w:tcPr>
            <w:tcW w:w="944" w:type="pct"/>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0F729C53" w14:textId="77777777">
            <w:pPr>
              <w:ind w:left="315"/>
            </w:pPr>
            <w:r w:rsidRPr="001C56E0">
              <w:rPr>
                <w:b/>
                <w:bCs/>
              </w:rPr>
              <w:t>AUC</w:t>
            </w:r>
          </w:p>
        </w:tc>
        <w:tc>
          <w:tcPr>
            <w:tcW w:w="944" w:type="pct"/>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3AE3C7D6" w14:textId="77777777">
            <w:pPr>
              <w:ind w:left="315"/>
            </w:pPr>
            <w:r w:rsidRPr="001C56E0">
              <w:rPr>
                <w:b/>
                <w:bCs/>
              </w:rPr>
              <w:t>Sens.</w:t>
            </w:r>
          </w:p>
        </w:tc>
        <w:tc>
          <w:tcPr>
            <w:tcW w:w="944" w:type="pct"/>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4F76329C" w14:textId="77777777">
            <w:pPr>
              <w:ind w:left="315"/>
            </w:pPr>
            <w:r w:rsidRPr="001C56E0">
              <w:rPr>
                <w:b/>
                <w:bCs/>
              </w:rPr>
              <w:t>Spec.</w:t>
            </w:r>
          </w:p>
        </w:tc>
        <w:tc>
          <w:tcPr>
            <w:tcW w:w="944" w:type="pct"/>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04806AA9" w14:textId="77777777">
            <w:pPr>
              <w:ind w:left="315"/>
            </w:pPr>
            <w:r w:rsidRPr="001C56E0">
              <w:rPr>
                <w:b/>
                <w:bCs/>
              </w:rPr>
              <w:t>F1</w:t>
            </w:r>
          </w:p>
        </w:tc>
      </w:tr>
      <w:tr w:rsidRPr="001C56E0" w:rsidR="003E45CF" w:rsidTr="001D63B4" w14:paraId="1F023CD9" w14:textId="77777777">
        <w:trPr>
          <w:trHeight w:val="332"/>
        </w:trPr>
        <w:tc>
          <w:tcPr>
            <w:tcW w:w="1223"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082319C4" w14:textId="77777777">
            <w:pPr>
              <w:ind w:left="315"/>
            </w:pPr>
            <w:r w:rsidRPr="001C56E0">
              <w:t>Random Forest</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45A03AC9" w14:textId="77777777">
            <w:pPr>
              <w:ind w:left="315"/>
            </w:pPr>
            <w:r w:rsidRPr="001C56E0">
              <w:t>98.37</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2EFC0EE8" w14:textId="77777777">
            <w:pPr>
              <w:ind w:left="315"/>
            </w:pPr>
            <w:r w:rsidRPr="001C56E0">
              <w:t>95.16</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16D4A49D" w14:textId="77777777">
            <w:pPr>
              <w:ind w:left="315"/>
            </w:pPr>
            <w:r w:rsidRPr="001C56E0">
              <w:t>94.74</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76BBD5B3" w14:textId="77777777">
            <w:pPr>
              <w:ind w:left="315"/>
            </w:pPr>
            <w:r w:rsidRPr="001C56E0">
              <w:t>91.47</w:t>
            </w:r>
          </w:p>
        </w:tc>
      </w:tr>
      <w:tr w:rsidRPr="001C56E0" w:rsidR="003E45CF" w:rsidTr="001D63B4" w14:paraId="6D865379" w14:textId="77777777">
        <w:trPr>
          <w:trHeight w:val="165"/>
        </w:trPr>
        <w:tc>
          <w:tcPr>
            <w:tcW w:w="1223"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33E51E62" w14:textId="77777777">
            <w:pPr>
              <w:ind w:left="315"/>
            </w:pPr>
            <w:r w:rsidRPr="001C56E0">
              <w:t>kNN</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77CB6F5D" w14:textId="77777777">
            <w:pPr>
              <w:ind w:left="315"/>
            </w:pPr>
            <w:r w:rsidRPr="001C56E0">
              <w:t>93.80</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527C33DA" w14:textId="77777777">
            <w:pPr>
              <w:ind w:left="315"/>
            </w:pPr>
            <w:r w:rsidRPr="001C56E0">
              <w:t>58.06</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01DE0FC9" w14:textId="77777777">
            <w:pPr>
              <w:ind w:left="315"/>
            </w:pPr>
            <w:r w:rsidRPr="001C56E0">
              <w:t>96.71</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3F10407A" w14:textId="77777777">
            <w:pPr>
              <w:ind w:left="315"/>
            </w:pPr>
            <w:r w:rsidRPr="001C56E0">
              <w:t>69.90</w:t>
            </w:r>
          </w:p>
        </w:tc>
      </w:tr>
      <w:tr w:rsidRPr="001C56E0" w:rsidR="003E45CF" w:rsidTr="001D63B4" w14:paraId="5660FAA0" w14:textId="77777777">
        <w:trPr>
          <w:trHeight w:val="165"/>
        </w:trPr>
        <w:tc>
          <w:tcPr>
            <w:tcW w:w="1223"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553D40EB" w14:textId="77777777">
            <w:pPr>
              <w:ind w:left="315"/>
            </w:pPr>
            <w:r w:rsidRPr="001C56E0">
              <w:t>GBM</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29F049DE" w14:textId="77777777">
            <w:pPr>
              <w:ind w:left="315"/>
            </w:pPr>
            <w:r w:rsidRPr="001C56E0">
              <w:t>98.39</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024EA2F8" w14:textId="77777777">
            <w:pPr>
              <w:ind w:left="315"/>
            </w:pPr>
            <w:r w:rsidRPr="001C56E0">
              <w:t>93.55</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1DCEA4FD" w14:textId="77777777">
            <w:pPr>
              <w:ind w:left="315"/>
            </w:pPr>
            <w:r w:rsidRPr="001C56E0">
              <w:t>96.05</w:t>
            </w:r>
          </w:p>
        </w:tc>
        <w:tc>
          <w:tcPr>
            <w:tcW w:w="944"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1B9C4DCA" w14:textId="77777777">
            <w:pPr>
              <w:ind w:left="315"/>
            </w:pPr>
            <w:r w:rsidRPr="001C56E0">
              <w:t>92.06</w:t>
            </w:r>
          </w:p>
        </w:tc>
      </w:tr>
      <w:tr w:rsidRPr="001C56E0" w:rsidR="003E45CF" w:rsidTr="001D63B4" w14:paraId="179538E1" w14:textId="77777777">
        <w:trPr>
          <w:trHeight w:val="332"/>
        </w:trPr>
        <w:tc>
          <w:tcPr>
            <w:tcW w:w="1223" w:type="pct"/>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617BA776" w14:textId="77777777">
            <w:pPr>
              <w:ind w:left="315"/>
            </w:pPr>
            <w:r w:rsidRPr="001C56E0">
              <w:rPr>
                <w:b/>
                <w:bCs/>
              </w:rPr>
              <w:t>Naive Bayes</w:t>
            </w:r>
          </w:p>
        </w:tc>
        <w:tc>
          <w:tcPr>
            <w:tcW w:w="944" w:type="pct"/>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5FD443D0" w14:textId="77777777">
            <w:pPr>
              <w:ind w:left="315"/>
            </w:pPr>
            <w:r w:rsidRPr="001C56E0">
              <w:rPr>
                <w:b/>
                <w:bCs/>
              </w:rPr>
              <w:t>98.41</w:t>
            </w:r>
          </w:p>
        </w:tc>
        <w:tc>
          <w:tcPr>
            <w:tcW w:w="944" w:type="pct"/>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6D3A7C9E" w14:textId="77777777">
            <w:pPr>
              <w:ind w:left="315"/>
            </w:pPr>
            <w:r w:rsidRPr="001C56E0">
              <w:rPr>
                <w:b/>
                <w:bCs/>
              </w:rPr>
              <w:t>93.55</w:t>
            </w:r>
          </w:p>
        </w:tc>
        <w:tc>
          <w:tcPr>
            <w:tcW w:w="944" w:type="pct"/>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77CBB57A" w14:textId="77777777">
            <w:pPr>
              <w:ind w:left="315"/>
            </w:pPr>
            <w:r w:rsidRPr="001C56E0">
              <w:rPr>
                <w:b/>
                <w:bCs/>
              </w:rPr>
              <w:t>93.42</w:t>
            </w:r>
          </w:p>
        </w:tc>
        <w:tc>
          <w:tcPr>
            <w:tcW w:w="944" w:type="pct"/>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5CFE01BB" w14:textId="77777777">
            <w:pPr>
              <w:ind w:left="315"/>
            </w:pPr>
            <w:r w:rsidRPr="001C56E0">
              <w:rPr>
                <w:b/>
                <w:bCs/>
              </w:rPr>
              <w:t>89.23</w:t>
            </w:r>
          </w:p>
        </w:tc>
      </w:tr>
    </w:tbl>
    <w:p w:rsidRPr="001C56E0" w:rsidR="003E45CF" w:rsidP="003E45CF" w:rsidRDefault="003E45CF" w14:paraId="52B3D053" w14:textId="77777777">
      <w:pPr>
        <w:spacing w:before="40" w:after="80"/>
        <w:ind w:left="315"/>
      </w:pPr>
      <w:r w:rsidRPr="001C56E0">
        <w:rPr>
          <w:i/>
          <w:iCs/>
        </w:rPr>
        <w:t>Shaded row = best AUC. Sens. = Sensitivity, Spec. = Specificity.</w:t>
      </w:r>
    </w:p>
    <w:p w:rsidRPr="001C56E0" w:rsidR="003E45CF" w:rsidP="003E45CF" w:rsidRDefault="003E45CF" w14:paraId="574BF005" w14:textId="43C29CF1">
      <w:pPr>
        <w:pStyle w:val="Heading2"/>
      </w:pPr>
      <w:r w:rsidRPr="001C56E0">
        <w:t>ROC Curves</w:t>
      </w:r>
    </w:p>
    <w:p w:rsidRPr="001C56E0" w:rsidR="003E45CF" w:rsidP="003E45CF" w:rsidRDefault="003E45CF" w14:paraId="1743D0ED" w14:textId="77777777">
      <w:pPr>
        <w:spacing w:after="120"/>
        <w:ind w:left="315" w:firstLine="720"/>
        <w:jc w:val="both"/>
      </w:pPr>
      <w:r w:rsidRPr="001C56E0">
        <w:t>RF, GBM, and Naive Bayes cluster near the top-left corner of ROC space (Fig. 2). kNN diverges substantially, confirming lower sensitivity across all thresholds.</w:t>
      </w:r>
    </w:p>
    <w:p w:rsidRPr="001C56E0" w:rsidR="003E45CF" w:rsidP="003E45CF" w:rsidRDefault="003E45CF" w14:paraId="1FB2D729" w14:textId="77777777">
      <w:pPr>
        <w:spacing w:after="60"/>
        <w:ind w:left="315"/>
        <w:jc w:val="both"/>
      </w:pPr>
    </w:p>
    <w:p w:rsidRPr="001C56E0" w:rsidR="003E45CF" w:rsidP="003E45CF" w:rsidRDefault="003E45CF" w14:paraId="2AF5092D" w14:textId="77777777">
      <w:pPr>
        <w:spacing w:after="40"/>
        <w:ind w:left="315"/>
      </w:pPr>
    </w:p>
    <w:p w:rsidRPr="001C56E0" w:rsidR="003E45CF" w:rsidP="003E45CF" w:rsidRDefault="000B63F2" w14:paraId="156DCF8D" w14:textId="735C917F">
      <w:pPr>
        <w:spacing w:before="60" w:after="40"/>
        <w:ind w:left="315"/>
      </w:pPr>
      <w:r w:rsidRPr="001C56E0">
        <w:rPr>
          <w:noProof/>
        </w:rPr>
        <w:lastRenderedPageBreak/>
        <w:drawing>
          <wp:inline distT="0" distB="0" distL="0" distR="0" wp14:anchorId="4D9DE752" wp14:editId="30FCF555">
            <wp:extent cx="2914650" cy="2190750"/>
            <wp:effectExtent l="0" t="0" r="0" b="0"/>
            <wp:docPr id="36" name="Picture 125912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1224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4650" cy="2190750"/>
                    </a:xfrm>
                    <a:prstGeom prst="rect">
                      <a:avLst/>
                    </a:prstGeom>
                    <a:noFill/>
                    <a:ln>
                      <a:noFill/>
                    </a:ln>
                  </pic:spPr>
                </pic:pic>
              </a:graphicData>
            </a:graphic>
          </wp:inline>
        </w:drawing>
      </w:r>
    </w:p>
    <w:p w:rsidRPr="001C56E0" w:rsidR="003E45CF" w:rsidP="003E45CF" w:rsidRDefault="003E45CF" w14:paraId="30C023A6" w14:textId="77777777">
      <w:pPr>
        <w:spacing w:before="40" w:after="120"/>
        <w:ind w:left="315"/>
      </w:pPr>
      <w:r w:rsidRPr="001C56E0">
        <w:rPr>
          <w:i/>
          <w:iCs/>
        </w:rPr>
        <w:t>Fig. 2.  ROC curves for all four classifiers. kNN (orange) shows markedly lower sensitivity.</w:t>
      </w:r>
    </w:p>
    <w:p w:rsidRPr="001C56E0" w:rsidR="003E45CF" w:rsidP="003E45CF" w:rsidRDefault="003E45CF" w14:paraId="56245F76" w14:textId="77777777">
      <w:pPr>
        <w:spacing w:after="60"/>
        <w:ind w:left="315"/>
      </w:pPr>
    </w:p>
    <w:p w:rsidRPr="001C56E0" w:rsidR="003E45CF" w:rsidP="003E45CF" w:rsidRDefault="003E45CF" w14:paraId="4C6F08A2" w14:textId="463E8DA6">
      <w:pPr>
        <w:pStyle w:val="Heading2"/>
      </w:pPr>
      <w:r w:rsidRPr="001C56E0">
        <w:t xml:space="preserve"> Feature Importance</w:t>
      </w:r>
    </w:p>
    <w:p w:rsidRPr="001C56E0" w:rsidR="003E45CF" w:rsidP="003E45CF" w:rsidRDefault="003E45CF" w14:paraId="5AAB15BA" w14:textId="0F9823FA">
      <w:pPr>
        <w:spacing w:after="120"/>
        <w:ind w:left="390" w:firstLine="720"/>
        <w:jc w:val="both"/>
      </w:pPr>
      <w:r w:rsidR="003E45CF">
        <w:rPr/>
        <w:t xml:space="preserve">Figure 3 displays the RF-derived variable importance scores, </w:t>
      </w:r>
      <w:r w:rsidR="5A832530">
        <w:rPr/>
        <w:t>normalized</w:t>
      </w:r>
      <w:r w:rsidR="003E45CF">
        <w:rPr/>
        <w:t xml:space="preserve"> so that the most important feature receives a score of 100. CDR dominates RF importance at 100, followed by MMSE, LMDR, and LMIR. All blood biomarkers and </w:t>
      </w:r>
      <w:r w:rsidR="003E45CF">
        <w:rPr/>
        <w:t>ApoE</w:t>
      </w:r>
      <w:r w:rsidR="003E45CF">
        <w:rPr/>
        <w:t xml:space="preserve"> alleles rank near zero, confirming negligible discriminative contribution beyond cognitive scores.</w:t>
      </w:r>
    </w:p>
    <w:p w:rsidRPr="001C56E0" w:rsidR="003E45CF" w:rsidP="003E45CF" w:rsidRDefault="003E45CF" w14:paraId="706D6978" w14:textId="77777777">
      <w:pPr>
        <w:spacing w:after="40"/>
        <w:ind w:left="315"/>
      </w:pPr>
    </w:p>
    <w:p w:rsidRPr="001C56E0" w:rsidR="003E45CF" w:rsidP="003E45CF" w:rsidRDefault="000B63F2" w14:paraId="307405D3" w14:textId="0F383814">
      <w:pPr>
        <w:spacing w:before="60" w:after="40"/>
        <w:ind w:left="315"/>
      </w:pPr>
      <w:r w:rsidRPr="001C56E0">
        <w:rPr>
          <w:noProof/>
        </w:rPr>
        <w:drawing>
          <wp:inline distT="0" distB="0" distL="0" distR="0" wp14:anchorId="23D3D71F" wp14:editId="19D4AE87">
            <wp:extent cx="2914650" cy="2190750"/>
            <wp:effectExtent l="0" t="0" r="0" b="0"/>
            <wp:docPr id="35" name="Picture 57867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6768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4650" cy="2190750"/>
                    </a:xfrm>
                    <a:prstGeom prst="rect">
                      <a:avLst/>
                    </a:prstGeom>
                    <a:noFill/>
                    <a:ln>
                      <a:noFill/>
                    </a:ln>
                  </pic:spPr>
                </pic:pic>
              </a:graphicData>
            </a:graphic>
          </wp:inline>
        </w:drawing>
      </w:r>
    </w:p>
    <w:p w:rsidRPr="001C56E0" w:rsidR="003E45CF" w:rsidP="003E45CF" w:rsidRDefault="003E45CF" w14:paraId="6E103269" w14:textId="77777777">
      <w:pPr>
        <w:spacing w:before="40" w:after="120"/>
        <w:ind w:left="315"/>
      </w:pPr>
      <w:r w:rsidRPr="001C56E0">
        <w:rPr>
          <w:i/>
          <w:iCs/>
        </w:rPr>
        <w:t>Fig. 3.  RF feature importances. Cognitive scores dominate; ApoE alleles rank lowest.</w:t>
      </w:r>
    </w:p>
    <w:p w:rsidRPr="001C56E0" w:rsidR="003E45CF" w:rsidP="003E45CF" w:rsidRDefault="003E45CF" w14:paraId="7E6AE046" w14:textId="77777777">
      <w:pPr>
        <w:spacing w:after="60"/>
        <w:ind w:left="315"/>
      </w:pPr>
    </w:p>
    <w:p w:rsidRPr="001C56E0" w:rsidR="003E45CF" w:rsidP="003E45CF" w:rsidRDefault="003E45CF" w14:paraId="652AE0A1" w14:textId="66975579">
      <w:pPr>
        <w:pStyle w:val="Heading2"/>
      </w:pPr>
      <w:r w:rsidRPr="001C56E0">
        <w:t>Confusion Matrix</w:t>
      </w:r>
    </w:p>
    <w:p w:rsidRPr="001C56E0" w:rsidR="003E45CF" w:rsidP="003E45CF" w:rsidRDefault="003E45CF" w14:paraId="38F85C6D" w14:textId="77777777">
      <w:pPr>
        <w:spacing w:after="120"/>
        <w:ind w:left="390" w:firstLine="720"/>
        <w:jc w:val="both"/>
      </w:pPr>
      <w:r w:rsidRPr="001C56E0">
        <w:t xml:space="preserve"> Naive Bayes correctly identified 58 of 62 NonHC cases (sensitivity 93.55%) and 142 of 152 HC participants (specificity 93.42%), with 10 false positives and 4 false negatives (Fig. 4). This error profile is acceptable for screening, as false positives are resolved by subsequent specialist assessment.</w:t>
      </w:r>
    </w:p>
    <w:p w:rsidRPr="001C56E0" w:rsidR="003E45CF" w:rsidP="003E45CF" w:rsidRDefault="000B63F2" w14:paraId="2AFE9691" w14:textId="5A3EFE1C">
      <w:pPr>
        <w:spacing w:before="60" w:after="40"/>
        <w:ind w:left="315"/>
      </w:pPr>
      <w:r w:rsidRPr="001C56E0">
        <w:rPr>
          <w:noProof/>
        </w:rPr>
        <w:drawing>
          <wp:inline distT="0" distB="0" distL="0" distR="0" wp14:anchorId="3807901C" wp14:editId="1748ADC4">
            <wp:extent cx="2133600" cy="1333500"/>
            <wp:effectExtent l="0" t="0" r="0" b="0"/>
            <wp:docPr id="34" name="Picture 214635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3559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1333500"/>
                    </a:xfrm>
                    <a:prstGeom prst="rect">
                      <a:avLst/>
                    </a:prstGeom>
                    <a:noFill/>
                    <a:ln>
                      <a:noFill/>
                    </a:ln>
                  </pic:spPr>
                </pic:pic>
              </a:graphicData>
            </a:graphic>
          </wp:inline>
        </w:drawing>
      </w:r>
    </w:p>
    <w:p w:rsidRPr="001C56E0" w:rsidR="003E45CF" w:rsidP="003E45CF" w:rsidRDefault="003E45CF" w14:paraId="03E311C5" w14:textId="77777777">
      <w:pPr>
        <w:spacing w:before="40" w:after="120"/>
        <w:ind w:left="315"/>
      </w:pPr>
      <w:r w:rsidRPr="001C56E0">
        <w:rPr>
          <w:i/>
          <w:iCs/>
        </w:rPr>
        <w:t>Fig. 4.  Confusion matrix – Naive Bayes. TP=58, TN=142, FP=10, FN=4.</w:t>
      </w:r>
    </w:p>
    <w:p w:rsidRPr="001C56E0" w:rsidR="003E45CF" w:rsidP="003E45CF" w:rsidRDefault="003E45CF" w14:paraId="392D64EB" w14:textId="7F5A1B31">
      <w:pPr>
        <w:pStyle w:val="Heading2"/>
      </w:pPr>
      <w:r w:rsidRPr="001C56E0">
        <w:t>RFE Economical Configurations</w:t>
      </w:r>
    </w:p>
    <w:p w:rsidRPr="001C56E0" w:rsidR="003E45CF" w:rsidP="003E45CF" w:rsidRDefault="003E45CF" w14:paraId="1D85679C" w14:textId="600EF82D">
      <w:pPr>
        <w:spacing w:after="120"/>
        <w:ind w:left="480" w:firstLine="720"/>
        <w:jc w:val="both"/>
      </w:pPr>
      <w:r w:rsidR="003E45CF">
        <w:rPr/>
        <w:t xml:space="preserve">The RFE curve (Fig. 5) shows </w:t>
      </w:r>
      <w:r w:rsidR="57AF8580">
        <w:rPr/>
        <w:t>accuracy of</w:t>
      </w:r>
      <w:r w:rsidR="003E45CF">
        <w:rPr/>
        <w:t xml:space="preserve"> plateauing at four features. Table II </w:t>
      </w:r>
      <w:r w:rsidR="06B0E413">
        <w:rPr/>
        <w:t>confirms that</w:t>
      </w:r>
      <w:r w:rsidR="003E45CF">
        <w:rPr/>
        <w:t xml:space="preserve"> Config A (4 cognitive features) achieves 98.43% AUC, exceeding the full 29-feature model at 98.37%. Adding features beyond the cognitive core yields no benefit.</w:t>
      </w:r>
    </w:p>
    <w:p w:rsidRPr="001C56E0" w:rsidR="003E45CF" w:rsidP="003E45CF" w:rsidRDefault="000B63F2" w14:paraId="21E49627" w14:textId="03E40B41">
      <w:pPr>
        <w:spacing w:before="60" w:after="40"/>
        <w:ind w:left="315"/>
      </w:pPr>
      <w:r w:rsidRPr="001C56E0">
        <w:rPr>
          <w:noProof/>
        </w:rPr>
        <w:drawing>
          <wp:inline distT="0" distB="0" distL="0" distR="0" wp14:anchorId="73671EC4" wp14:editId="4AAA574D">
            <wp:extent cx="2914650" cy="1438275"/>
            <wp:effectExtent l="0" t="0" r="0" b="0"/>
            <wp:docPr id="33" name="Picture 58591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9127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4650" cy="1438275"/>
                    </a:xfrm>
                    <a:prstGeom prst="rect">
                      <a:avLst/>
                    </a:prstGeom>
                    <a:noFill/>
                    <a:ln>
                      <a:noFill/>
                    </a:ln>
                  </pic:spPr>
                </pic:pic>
              </a:graphicData>
            </a:graphic>
          </wp:inline>
        </w:drawing>
      </w:r>
    </w:p>
    <w:p w:rsidRPr="001C56E0" w:rsidR="003E45CF" w:rsidP="003E45CF" w:rsidRDefault="003E45CF" w14:paraId="59611EC6" w14:textId="77777777">
      <w:pPr>
        <w:spacing w:before="40" w:after="120"/>
        <w:ind w:left="315"/>
      </w:pPr>
      <w:r w:rsidRPr="001C56E0">
        <w:rPr>
          <w:i/>
          <w:iCs/>
        </w:rPr>
        <w:t>Fig. 5.  RFE curve: accuracy peaks at 10 features.</w:t>
      </w:r>
    </w:p>
    <w:p w:rsidRPr="001C56E0" w:rsidR="003E45CF" w:rsidP="003E45CF" w:rsidRDefault="003E45CF" w14:paraId="7DE66C24" w14:textId="77777777">
      <w:pPr>
        <w:spacing w:after="40"/>
        <w:ind w:left="315"/>
      </w:pPr>
    </w:p>
    <w:p w:rsidRPr="001C56E0" w:rsidR="003E45CF" w:rsidP="003E45CF" w:rsidRDefault="000B63F2" w14:paraId="0BCF9598" w14:textId="6C78B64E">
      <w:pPr>
        <w:spacing w:before="60" w:after="40"/>
        <w:ind w:left="315"/>
      </w:pPr>
      <w:r w:rsidRPr="001C56E0">
        <w:rPr>
          <w:noProof/>
        </w:rPr>
        <w:drawing>
          <wp:inline distT="0" distB="0" distL="0" distR="0" wp14:anchorId="179B6498" wp14:editId="1280A64E">
            <wp:extent cx="2914650" cy="1819275"/>
            <wp:effectExtent l="0" t="0" r="0" b="0"/>
            <wp:docPr id="32" name="Picture 203939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3967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4650" cy="1819275"/>
                    </a:xfrm>
                    <a:prstGeom prst="rect">
                      <a:avLst/>
                    </a:prstGeom>
                    <a:noFill/>
                    <a:ln>
                      <a:noFill/>
                    </a:ln>
                  </pic:spPr>
                </pic:pic>
              </a:graphicData>
            </a:graphic>
          </wp:inline>
        </w:drawing>
      </w:r>
    </w:p>
    <w:p w:rsidRPr="001C56E0" w:rsidR="003E45CF" w:rsidP="003E45CF" w:rsidRDefault="003E45CF" w14:paraId="35AAAD14" w14:textId="77777777">
      <w:pPr>
        <w:spacing w:before="40" w:after="120"/>
        <w:ind w:left="315"/>
      </w:pPr>
      <w:r w:rsidRPr="001C56E0">
        <w:rPr>
          <w:i/>
          <w:iCs/>
        </w:rPr>
        <w:t>Fig. 6.  Economical config comparison. Config A (4 features, lowest cost) matches full-model AUC.</w:t>
      </w:r>
    </w:p>
    <w:p w:rsidRPr="001C56E0" w:rsidR="003E45CF" w:rsidP="003E45CF" w:rsidRDefault="003E45CF" w14:paraId="6FBEAF54" w14:textId="77777777">
      <w:pPr>
        <w:spacing w:after="60"/>
        <w:ind w:left="315"/>
      </w:pPr>
    </w:p>
    <w:p w:rsidRPr="001C56E0" w:rsidR="003E45CF" w:rsidP="003E45CF" w:rsidRDefault="003E45CF" w14:paraId="01592C45" w14:textId="77777777">
      <w:pPr>
        <w:spacing w:before="60" w:after="40"/>
        <w:ind w:left="315"/>
      </w:pPr>
      <w:r w:rsidRPr="001C56E0">
        <w:rPr>
          <w:b/>
          <w:bCs/>
          <w:smallCaps/>
        </w:rPr>
        <w:t>TABLE II.  Economical Configuration AUC</w:t>
      </w:r>
    </w:p>
    <w:tbl>
      <w:tblPr>
        <w:tblW w:w="0" w:type="auto"/>
        <w:tblInd w:w="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61"/>
        <w:gridCol w:w="931"/>
        <w:gridCol w:w="1466"/>
        <w:gridCol w:w="925"/>
      </w:tblGrid>
      <w:tr w:rsidRPr="001C56E0" w:rsidR="003E45CF" w:rsidTr="001D63B4" w14:paraId="36E5B7CF" w14:textId="77777777">
        <w:trPr>
          <w:tblHeader/>
        </w:trPr>
        <w:tc>
          <w:tcPr>
            <w:tcW w:w="0" w:type="auto"/>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55040531" w14:textId="77777777">
            <w:pPr>
              <w:ind w:left="315"/>
            </w:pPr>
            <w:r w:rsidRPr="001C56E0">
              <w:rPr>
                <w:b/>
                <w:bCs/>
              </w:rPr>
              <w:t>Config</w:t>
            </w:r>
          </w:p>
        </w:tc>
        <w:tc>
          <w:tcPr>
            <w:tcW w:w="0" w:type="auto"/>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16481680" w14:textId="77777777">
            <w:pPr>
              <w:ind w:left="315"/>
            </w:pPr>
            <w:r w:rsidRPr="001C56E0">
              <w:rPr>
                <w:b/>
                <w:bCs/>
              </w:rPr>
              <w:t>Feats</w:t>
            </w:r>
          </w:p>
        </w:tc>
        <w:tc>
          <w:tcPr>
            <w:tcW w:w="0" w:type="auto"/>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6693E871" w14:textId="77777777">
            <w:pPr>
              <w:ind w:left="315"/>
            </w:pPr>
            <w:r w:rsidRPr="001C56E0">
              <w:rPr>
                <w:b/>
                <w:bCs/>
              </w:rPr>
              <w:t>Key Features</w:t>
            </w:r>
          </w:p>
        </w:tc>
        <w:tc>
          <w:tcPr>
            <w:tcW w:w="0" w:type="auto"/>
            <w:tcBorders>
              <w:top w:val="single" w:color="000000" w:sz="6" w:space="0"/>
              <w:left w:val="single" w:color="000000" w:sz="4" w:space="0"/>
              <w:bottom w:val="single" w:color="000000" w:sz="6" w:space="0"/>
              <w:right w:val="single" w:color="000000" w:sz="4" w:space="0"/>
            </w:tcBorders>
            <w:shd w:val="clear" w:color="auto" w:fill="D9D9D9"/>
            <w:tcMar>
              <w:top w:w="60" w:type="dxa"/>
              <w:left w:w="80" w:type="dxa"/>
              <w:bottom w:w="60" w:type="dxa"/>
              <w:right w:w="80" w:type="dxa"/>
            </w:tcMar>
          </w:tcPr>
          <w:p w:rsidRPr="001C56E0" w:rsidR="003E45CF" w:rsidP="001D63B4" w:rsidRDefault="003E45CF" w14:paraId="53491CE1" w14:textId="77777777">
            <w:pPr>
              <w:ind w:left="315"/>
            </w:pPr>
            <w:r w:rsidRPr="001C56E0">
              <w:rPr>
                <w:b/>
                <w:bCs/>
              </w:rPr>
              <w:t>AUC</w:t>
            </w:r>
          </w:p>
        </w:tc>
      </w:tr>
      <w:tr w:rsidRPr="001C56E0" w:rsidR="003E45CF" w:rsidTr="001D63B4" w14:paraId="0F1B073A" w14:textId="77777777">
        <w:tc>
          <w:tcPr>
            <w:tcW w:w="0" w:type="auto"/>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25C95266" w14:textId="77777777">
            <w:pPr>
              <w:ind w:left="315"/>
            </w:pPr>
            <w:r w:rsidRPr="001C56E0">
              <w:rPr>
                <w:b/>
                <w:bCs/>
              </w:rPr>
              <w:t>A (Lowest)</w:t>
            </w:r>
          </w:p>
        </w:tc>
        <w:tc>
          <w:tcPr>
            <w:tcW w:w="0" w:type="auto"/>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376AD07F" w14:textId="77777777">
            <w:pPr>
              <w:ind w:left="315"/>
            </w:pPr>
            <w:r w:rsidRPr="001C56E0">
              <w:rPr>
                <w:b/>
                <w:bCs/>
              </w:rPr>
              <w:t>4</w:t>
            </w:r>
          </w:p>
        </w:tc>
        <w:tc>
          <w:tcPr>
            <w:tcW w:w="0" w:type="auto"/>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17CD6FE1" w14:textId="77777777">
            <w:pPr>
              <w:ind w:left="315"/>
            </w:pPr>
            <w:r w:rsidRPr="001C56E0">
              <w:rPr>
                <w:b/>
                <w:bCs/>
              </w:rPr>
              <w:t>Cognitive only</w:t>
            </w:r>
          </w:p>
        </w:tc>
        <w:tc>
          <w:tcPr>
            <w:tcW w:w="0" w:type="auto"/>
            <w:tcBorders>
              <w:top w:val="single" w:color="000000" w:sz="4" w:space="0"/>
              <w:left w:val="single" w:color="000000" w:sz="4" w:space="0"/>
              <w:bottom w:val="single" w:color="000000" w:sz="4" w:space="0"/>
              <w:right w:val="single" w:color="000000" w:sz="4" w:space="0"/>
            </w:tcBorders>
            <w:shd w:val="clear" w:color="auto" w:fill="D9EAD3"/>
            <w:tcMar>
              <w:top w:w="60" w:type="dxa"/>
              <w:left w:w="80" w:type="dxa"/>
              <w:bottom w:w="60" w:type="dxa"/>
              <w:right w:w="80" w:type="dxa"/>
            </w:tcMar>
          </w:tcPr>
          <w:p w:rsidRPr="001C56E0" w:rsidR="003E45CF" w:rsidP="001D63B4" w:rsidRDefault="003E45CF" w14:paraId="3F49D91D" w14:textId="77777777">
            <w:pPr>
              <w:ind w:left="315"/>
            </w:pPr>
            <w:r w:rsidRPr="001C56E0">
              <w:rPr>
                <w:b/>
                <w:bCs/>
              </w:rPr>
              <w:t>98.43</w:t>
            </w:r>
          </w:p>
        </w:tc>
      </w:tr>
      <w:tr w:rsidRPr="001C56E0" w:rsidR="003E45CF" w:rsidTr="001D63B4" w14:paraId="053FC312" w14:textId="77777777">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1AF0FFCF" w14:textId="77777777">
            <w:pPr>
              <w:ind w:left="315"/>
            </w:pPr>
            <w:r w:rsidRPr="001C56E0">
              <w:t>B (Low)</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2A926378" w14:textId="77777777">
            <w:pPr>
              <w:ind w:left="315"/>
            </w:pPr>
            <w:r w:rsidRPr="001C56E0">
              <w:t>8</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4CFEC012" w14:textId="77777777">
            <w:pPr>
              <w:ind w:left="315"/>
            </w:pPr>
            <w:r w:rsidRPr="001C56E0">
              <w:t>Top 8 RFE</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641B4555" w14:textId="77777777">
            <w:pPr>
              <w:ind w:left="315"/>
            </w:pPr>
            <w:r w:rsidRPr="001C56E0">
              <w:t>98.43</w:t>
            </w:r>
          </w:p>
        </w:tc>
      </w:tr>
      <w:tr w:rsidRPr="001C56E0" w:rsidR="003E45CF" w:rsidTr="001D63B4" w14:paraId="45DF92FB" w14:textId="77777777">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7A2B404F" w14:textId="77777777">
            <w:pPr>
              <w:ind w:left="315"/>
            </w:pPr>
            <w:r w:rsidRPr="001C56E0">
              <w:lastRenderedPageBreak/>
              <w:t>C (Medium)</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684F0E6F" w14:textId="77777777">
            <w:pPr>
              <w:ind w:left="315"/>
            </w:pPr>
            <w:r w:rsidRPr="001C56E0">
              <w:t>10</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3BE99C5B" w14:textId="77777777">
            <w:pPr>
              <w:ind w:left="315"/>
            </w:pPr>
            <w:r w:rsidRPr="001C56E0">
              <w:t>All RFE-sel.</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0C201558" w14:textId="77777777">
            <w:pPr>
              <w:ind w:left="315"/>
            </w:pPr>
            <w:r w:rsidRPr="001C56E0">
              <w:t>98.23</w:t>
            </w:r>
          </w:p>
        </w:tc>
      </w:tr>
      <w:tr w:rsidRPr="001C56E0" w:rsidR="003E45CF" w:rsidTr="001D63B4" w14:paraId="0787FE66" w14:textId="77777777">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2D168200" w14:textId="77777777">
            <w:r w:rsidRPr="001C56E0">
              <w:t>Full</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5385F32B" w14:textId="77777777">
            <w:r w:rsidRPr="001C56E0">
              <w:t>29</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54CEA92A" w14:textId="77777777">
            <w:r w:rsidRPr="001C56E0">
              <w:t>All features</w:t>
            </w:r>
          </w:p>
        </w:tc>
        <w:tc>
          <w:tcPr>
            <w:tcW w:w="0" w:type="auto"/>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Pr="001C56E0" w:rsidR="003E45CF" w:rsidP="001D63B4" w:rsidRDefault="003E45CF" w14:paraId="173C835B" w14:textId="77777777">
            <w:r w:rsidRPr="001C56E0">
              <w:t>98.37</w:t>
            </w:r>
          </w:p>
        </w:tc>
      </w:tr>
    </w:tbl>
    <w:p w:rsidRPr="001C56E0" w:rsidR="001C56E0" w:rsidP="00753F7B" w:rsidRDefault="003E45CF" w14:paraId="04111417" w14:textId="77777777">
      <w:pPr>
        <w:pStyle w:val="BodyText"/>
        <w:rPr>
          <w:i/>
          <w:iCs/>
        </w:rPr>
      </w:pPr>
      <w:r w:rsidRPr="001C56E0">
        <w:rPr>
          <w:i/>
          <w:iCs/>
        </w:rPr>
        <w:t>Config A shaded — lowest cost, highest AUC</w:t>
      </w:r>
    </w:p>
    <w:p w:rsidRPr="001C56E0" w:rsidR="008A55B5" w:rsidP="00CB1404" w:rsidRDefault="001C56E0" w14:paraId="67ED4703" w14:textId="026BCD28">
      <w:pPr>
        <w:pStyle w:val="Heading1"/>
      </w:pPr>
      <w:r w:rsidRPr="001C56E0">
        <w:t>Discussion</w:t>
      </w:r>
    </w:p>
    <w:p w:rsidRPr="000B63F2" w:rsidR="000B63F2" w:rsidP="000B63F2" w:rsidRDefault="000B63F2" w14:paraId="4CCC87A0" w14:textId="701ECDDF">
      <w:pPr>
        <w:spacing w:after="120"/>
        <w:ind w:firstLine="720"/>
        <w:jc w:val="both"/>
      </w:pPr>
      <w:sdt>
        <w:sdtPr>
          <w:id w:val="1544034869"/>
          <w15:appearance w15:val="hidden"/>
          <w:tag w:val="tii-similarity-U1VCTUlUVEVEX1dPUktfb2lkOjE6MzU0NDQwMzY2Nw=="/>
          <w:placeholder>
            <w:docPart w:val="DefaultPlaceholder_-1854013440"/>
          </w:placeholder>
        </w:sdtPr>
        <w:sdtContent>
          <w:r w:rsidR="000B63F2">
            <w:rPr/>
            <w:t>The central finding of this study is that</w:t>
          </w:r>
        </w:sdtContent>
      </w:sdt>
      <w:r w:rsidR="000B63F2">
        <w:rPr/>
        <w:t xml:space="preserve"> Config A, which uses only four cognitive features, achieves an AUC of 98.43%, compared to 98.37% for the full 29-feature model. Although this result may seem counter-intuitive, it is explained by the curse of dimensionality. As </w:t>
      </w:r>
      <w:sdt>
        <w:sdtPr>
          <w:id w:val="35295041"/>
          <w15:appearance w15:val="hidden"/>
          <w:tag w:val="tii-similarity-UFVCTElDQVRJT05fRXJ2aW4gU2VqZGnEhywgVGlhZ28gSC4gRmFsay4gIlNpZ25hbCBQcm9jZXNzaW5nIGFuZCBNYWNoaW5lIExlYXJuaW5nIGZvciBCaW9tZWRpY2FsIEJpZyBEYXRhIiwgQ1JDIFByZXNzLCAyMDE4"/>
          <w:placeholder>
            <w:docPart w:val="DefaultPlaceholder_-1854013440"/>
          </w:placeholder>
        </w:sdtPr>
        <w:sdtContent>
          <w:r w:rsidR="000B63F2">
            <w:rPr/>
            <w:t>the number of features</w:t>
          </w:r>
        </w:sdtContent>
      </w:sdt>
      <w:r w:rsidR="000B63F2">
        <w:rPr/>
        <w:t xml:space="preserve"> increases, the feature space </w:t>
      </w:r>
      <w:r w:rsidR="27FEA1EF">
        <w:rPr/>
        <w:t>expands,</w:t>
      </w:r>
      <w:r w:rsidR="000B63F2">
        <w:rPr/>
        <w:t xml:space="preserve"> and the distance between training observations grows, making it harder for classifiers to </w:t>
      </w:r>
      <w:r w:rsidR="1D3DF7B0">
        <w:rPr/>
        <w:t>generalize</w:t>
      </w:r>
      <w:r w:rsidR="000B63F2">
        <w:rPr/>
        <w:t xml:space="preserve"> new cases. Blood </w:t>
      </w:r>
      <w:r w:rsidR="0692C823">
        <w:rPr/>
        <w:t>biomarkers</w:t>
      </w:r>
      <w:r w:rsidR="000B63F2">
        <w:rPr/>
        <w:t xml:space="preserve"> and genomic features do not provide enough complementary information to offset this effect, leading to a slight decrease in </w:t>
      </w:r>
      <w:r w:rsidR="6016BE0A">
        <w:rPr/>
        <w:t>generalization</w:t>
      </w:r>
      <w:r w:rsidR="000B63F2">
        <w:rPr/>
        <w:t xml:space="preserve"> despite the larger dataset. These results support the clinical recommendation that first-line cognitive screening should use only MMSE, CDR, LMIR, and LMDR, which can be administered by a trained nurse or GP without laboratory infrastructure.</w:t>
      </w:r>
    </w:p>
    <w:p w:rsidRPr="000B63F2" w:rsidR="000B63F2" w:rsidP="000B63F2" w:rsidRDefault="000B63F2" w14:paraId="5D7BDAD7" w14:textId="77777777">
      <w:pPr>
        <w:spacing w:after="120"/>
        <w:ind w:firstLine="720"/>
        <w:jc w:val="both"/>
      </w:pPr>
      <w:r w:rsidRPr="000B63F2">
        <w:t>The use of kNN imputation is methodologically important and requires specific justification. In the AIBL dataset, missing data are not distributed uniformly; participants with more advanced cognitive decline often have incomplete blood records due to reduced compliance or protocol differences. In this context, the assumption of missing-completely-at-random, which underlies mean or median substitution, does not hold. kNN imputation addresses this by filling each missing value using the five most similar observed participants, leveraging local correlations to produce diagnostically plausible values [5, 9]. This approach preserves between-class distinctions and reduces the risk of imputation bias affecting classifier training.</w:t>
      </w:r>
    </w:p>
    <w:p w:rsidRPr="000B63F2" w:rsidR="000B63F2" w:rsidP="000B63F2" w:rsidRDefault="000B63F2" w14:paraId="73876283" w14:textId="760344C0">
      <w:pPr>
        <w:spacing w:after="120"/>
        <w:ind w:firstLine="720"/>
        <w:jc w:val="both"/>
      </w:pPr>
      <w:r w:rsidR="000B63F2">
        <w:rPr/>
        <w:t>ROSE balancing addressed the 71:29 HC-to-</w:t>
      </w:r>
      <w:r w:rsidR="000B63F2">
        <w:rPr/>
        <w:t>NonHC</w:t>
      </w:r>
      <w:r w:rsidR="000B63F2">
        <w:rPr/>
        <w:t xml:space="preserve"> imbalance in the training data by generating synthetic minority-class samples using a smoothed bootstrap method. Unlike SMOTE, which creates synthetic observations only along line segments between real minority samples [10], ROSE uses a kernel-based approximation of the feature distribution. This produces more diverse synthetic cases and reduces the risk of </w:t>
      </w:r>
      <w:r w:rsidR="01523A68">
        <w:rPr/>
        <w:t>overfitting</w:t>
      </w:r>
      <w:r w:rsidR="000B63F2">
        <w:rPr/>
        <w:t xml:space="preserve"> minority cluster boundaries [6, 7]. The improvement in </w:t>
      </w:r>
      <w:r w:rsidR="000B63F2">
        <w:rPr/>
        <w:t>NonHC</w:t>
      </w:r>
      <w:r w:rsidR="000B63F2">
        <w:rPr/>
        <w:t xml:space="preserve"> sensitivity across the top three models, all exceeding 93%, confirms that ROSE effectively recalibrated classifier decision boundaries toward the clinically important minority class.</w:t>
      </w:r>
    </w:p>
    <w:p w:rsidRPr="000B63F2" w:rsidR="000B63F2" w:rsidP="000B63F2" w:rsidRDefault="000B63F2" w14:paraId="2BDB37D3" w14:textId="253A2726">
      <w:pPr>
        <w:spacing w:after="120"/>
        <w:ind w:firstLine="720"/>
        <w:jc w:val="both"/>
      </w:pPr>
      <w:r w:rsidR="000B63F2">
        <w:rPr/>
        <w:t xml:space="preserve">The minimal predictive value of blood biomarkers, including </w:t>
      </w:r>
      <w:r w:rsidR="20027BF6">
        <w:rPr/>
        <w:t>hematological</w:t>
      </w:r>
      <w:r w:rsidR="000B63F2">
        <w:rPr/>
        <w:t xml:space="preserve"> and metabolic markers, as well as </w:t>
      </w:r>
      <w:r w:rsidR="000B63F2">
        <w:rPr/>
        <w:t>ApoE</w:t>
      </w:r>
      <w:r w:rsidR="000B63F2">
        <w:rPr/>
        <w:t xml:space="preserve"> genotyping (APGEN1, APGEN2), aligns with current clinical understanding. While </w:t>
      </w:r>
      <w:sdt>
        <w:sdtPr>
          <w:id w:val="619007554"/>
          <w15:appearance w15:val="hidden"/>
          <w:tag w:val="tii-similarity-SU5URVJORVRfd3d3LmpwcmV2ZW50aW9uYWx6aGVpbWVyLmNvbQ=="/>
          <w:placeholder>
            <w:docPart w:val="DefaultPlaceholder_-1854013440"/>
          </w:placeholder>
        </w:sdtPr>
        <w:sdtContent>
          <w:r w:rsidR="000B63F2">
            <w:rPr>
              <w:b w:val="0"/>
              <w:bCs w:val="0"/>
            </w:rPr>
            <w:t>ApoE-ε4</w:t>
          </w:r>
        </w:sdtContent>
      </w:sdt>
      <w:r w:rsidR="000B63F2">
        <w:rPr/>
        <w:t xml:space="preserve"> carriership is a known </w:t>
      </w:r>
      <w:sdt>
        <w:sdtPr>
          <w:id w:val="1625947403"/>
          <w15:appearance w15:val="hidden"/>
          <w:tag w:val="tii-similarity-SU5URVJORVRfd3d3LmpwcmV2ZW50aW9uYWx6aGVpbWVyLmNvbQ=="/>
          <w:placeholder>
            <w:docPart w:val="DefaultPlaceholder_-1854013440"/>
          </w:placeholder>
        </w:sdtPr>
        <w:sdtContent>
          <w:r w:rsidR="000B63F2">
            <w:rPr>
              <w:b w:val="0"/>
              <w:bCs w:val="0"/>
            </w:rPr>
            <w:t>genetic risk factor for late-onset Alzheimer’s disease</w:t>
          </w:r>
        </w:sdtContent>
      </w:sdt>
      <w:r w:rsidR="000B63F2">
        <w:rPr/>
        <w:t xml:space="preserve">, its positive predictive value at the individual level is low: many </w:t>
      </w:r>
      <w:r w:rsidR="000B63F2">
        <w:rPr/>
        <w:t xml:space="preserve">carriers do not develop AD, and many AD patients are non-carriers [11]. At baseline, its ability to distinguish cases in the general population is modest. Therefore, </w:t>
      </w:r>
      <w:r w:rsidR="000B63F2">
        <w:rPr/>
        <w:t>ApoE</w:t>
      </w:r>
      <w:r w:rsidR="000B63F2">
        <w:rPr/>
        <w:t xml:space="preserve"> genotyping should be reserved for specialist genetic counselling after cognitive screening, rather than used as a routine first-line test. A tiered clinical pathway</w:t>
      </w:r>
      <w:r w:rsidR="000B63F2">
        <w:rPr/>
        <w:t xml:space="preserve">, </w:t>
      </w:r>
      <w:r w:rsidR="000B63F2">
        <w:rPr/>
        <w:t>cognitive assessment first, targeted blood tests for borderline cases, and specialist referral with genomic profiling only for confirmed risk cases</w:t>
      </w:r>
      <w:r w:rsidR="000B63F2">
        <w:rPr/>
        <w:t xml:space="preserve">, </w:t>
      </w:r>
      <w:r w:rsidR="000B63F2">
        <w:rPr/>
        <w:t>is both evidence-based and resource-efficient.</w:t>
      </w:r>
    </w:p>
    <w:p w:rsidRPr="000B63F2" w:rsidR="000B63F2" w:rsidP="000B63F2" w:rsidRDefault="000B63F2" w14:paraId="13F9536D" w14:textId="63A6F48B">
      <w:pPr>
        <w:spacing w:after="120"/>
        <w:ind w:firstLine="720"/>
        <w:jc w:val="both"/>
      </w:pPr>
      <w:r w:rsidR="000B63F2">
        <w:rPr/>
        <w:t xml:space="preserve">This study is not without limitations. The analysis is cross-sectional, </w:t>
      </w:r>
      <w:r w:rsidR="6C06B2C4">
        <w:rPr/>
        <w:t>utilizing</w:t>
      </w:r>
      <w:r w:rsidR="000B63F2">
        <w:rPr/>
        <w:t xml:space="preserve"> only baseline visits, and therefore cannot model the trajectory of cognitive decline over time. Longitudinal modelling would allow the detection of subtle early-stage changes before threshold classification criteria are met, potentially improving sensitivity for pre-clinical MCI. Additionally, </w:t>
      </w:r>
      <w:sdt>
        <w:sdtPr>
          <w:id w:val="122726741"/>
          <w15:appearance w15:val="hidden"/>
          <w:tag w:val="tii-similarity-SU5URVJORVRfbGluay5zcHJpbmdlci5jb20="/>
          <w:placeholder>
            <w:docPart w:val="DefaultPlaceholder_-1854013440"/>
          </w:placeholder>
        </w:sdtPr>
        <w:sdtContent>
          <w:r w:rsidR="000B63F2">
            <w:rPr>
              <w:b w:val="0"/>
              <w:bCs w:val="0"/>
            </w:rPr>
            <w:t>the Naive Bayes classifier assumes conditional independence</w:t>
          </w:r>
        </w:sdtContent>
      </w:sdt>
      <w:r w:rsidR="000B63F2">
        <w:rPr/>
        <w:t xml:space="preserve"> between features, an assumption violated by the high inter-correlations among cognitive scores; probability calibration using isotonic regression or Platt scaling would be advisable before deploying predicted probabilities as clinical decision thresholds. External validation on an independent cohort, such as ADNI or the UK Biobank, would further assess the </w:t>
      </w:r>
      <w:r w:rsidR="280530E4">
        <w:rPr/>
        <w:t>generalizability</w:t>
      </w:r>
      <w:r w:rsidR="000B63F2">
        <w:rPr/>
        <w:t xml:space="preserve"> of the four-feature configuration.</w:t>
      </w:r>
    </w:p>
    <w:p w:rsidRPr="001C56E0" w:rsidR="001C56E0" w:rsidP="000B63F2" w:rsidRDefault="001C56E0" w14:paraId="4E07AA45" w14:textId="77777777">
      <w:pPr>
        <w:pStyle w:val="BodyText"/>
        <w:ind w:firstLine="0"/>
      </w:pPr>
    </w:p>
    <w:p w:rsidRPr="001C56E0" w:rsidR="001C56E0" w:rsidP="001C56E0" w:rsidRDefault="000B63F2" w14:paraId="791CF72E" w14:textId="379034C5">
      <w:pPr>
        <w:pStyle w:val="Heading1"/>
      </w:pPr>
      <w:r>
        <w:t>Conclusion</w:t>
      </w:r>
    </w:p>
    <w:p w:rsidRPr="001C56E0" w:rsidR="001C56E0" w:rsidP="001C56E0" w:rsidRDefault="001C56E0" w14:paraId="15D69488" w14:textId="58D4920F">
      <w:pPr>
        <w:spacing w:after="120"/>
        <w:ind w:firstLine="720"/>
        <w:jc w:val="both"/>
      </w:pPr>
      <w:r w:rsidR="001C56E0">
        <w:rPr/>
        <w:t xml:space="preserve">This paper </w:t>
      </w:r>
      <w:r w:rsidR="001C56E0">
        <w:rPr/>
        <w:t>demonstrated</w:t>
      </w:r>
      <w:r w:rsidR="001C56E0">
        <w:rPr/>
        <w:t xml:space="preserve"> a complete and reproducible machine learning pipeline for economical HC versus Non-HC diagnostic classification using the AIBL baseline dataset. Among four evaluated classifiers</w:t>
      </w:r>
      <w:r w:rsidR="001C56E0">
        <w:rPr/>
        <w:t xml:space="preserve">, </w:t>
      </w:r>
      <w:r w:rsidR="001C56E0">
        <w:rPr/>
        <w:t xml:space="preserve">Random Forest, </w:t>
      </w:r>
      <w:r w:rsidR="001C56E0">
        <w:rPr/>
        <w:t>kNN</w:t>
      </w:r>
      <w:r w:rsidR="001C56E0">
        <w:rPr/>
        <w:t xml:space="preserve">, Gradient Boosting, and Naive </w:t>
      </w:r>
      <w:r w:rsidR="4B1A3D42">
        <w:rPr/>
        <w:t>Bayes, Naive</w:t>
      </w:r>
      <w:r w:rsidR="001C56E0">
        <w:rPr/>
        <w:t xml:space="preserve"> Bayes achieved the highest test-set AUC of 98.41%, with RF and GBM within 0.05 percentage points. All three high-performing models exceeded 93% </w:t>
      </w:r>
      <w:r w:rsidR="498FFEA5">
        <w:rPr/>
        <w:t>of sensitivity</w:t>
      </w:r>
      <w:r w:rsidR="001C56E0">
        <w:rPr/>
        <w:t xml:space="preserve">, </w:t>
      </w:r>
      <w:r w:rsidR="001C56E0">
        <w:rPr/>
        <w:t>demonstrating</w:t>
      </w:r>
      <w:r w:rsidR="001C56E0">
        <w:rPr/>
        <w:t xml:space="preserve"> effective </w:t>
      </w:r>
      <w:r w:rsidR="001C56E0">
        <w:rPr/>
        <w:t>NonHC</w:t>
      </w:r>
      <w:r w:rsidR="001C56E0">
        <w:rPr/>
        <w:t xml:space="preserve"> recall under ROSE-balanced training conditions.</w:t>
      </w:r>
    </w:p>
    <w:p w:rsidR="001C56E0" w:rsidP="001C56E0" w:rsidRDefault="001C56E0" w14:paraId="1B333074" w14:textId="5F7B9EB3">
      <w:pPr>
        <w:jc w:val="both"/>
      </w:pPr>
      <w:r w:rsidRPr="001C56E0">
        <w:t>RFE with a Random Forest base learner objectively identified that only four cognitive features</w:t>
      </w:r>
      <w:r w:rsidR="000B63F2">
        <w:t xml:space="preserve">, </w:t>
      </w:r>
      <w:r w:rsidRPr="001C56E0">
        <w:t>CDR, MMSE, LMIR, and LMDR</w:t>
      </w:r>
      <w:r w:rsidR="000B63F2">
        <w:t xml:space="preserve">, </w:t>
      </w:r>
      <w:r w:rsidRPr="001C56E0">
        <w:t>are necessary for near-peak diagnostic performance. Config A (4 cognitive features) achieved 98.43% AUC, marginally exceeding the full 29-feature model, providing compelling evidence that blood biomarkers and ApoE genotyping add no first-line screening value. The recommended clinical pathway arising from these findings is a three-tier structure: cognitive screening with the four identified instruments as the universal entry point; targeted blood investigations only for cases with borderline cognitive scores; and ApoE genotyping reserved exclusively for specialist referral. This design maximises diagnostic yield while minimising the cost and invasiveness imposed on the majority of screened individuals</w:t>
      </w:r>
      <w:r w:rsidR="000B63F2">
        <w:t>.</w:t>
      </w:r>
    </w:p>
    <w:p w:rsidR="000B63F2" w:rsidP="001C56E0" w:rsidRDefault="000B63F2" w14:paraId="1812568E" w14:textId="77777777">
      <w:pPr>
        <w:jc w:val="both"/>
      </w:pPr>
    </w:p>
    <w:p w:rsidR="000B63F2" w:rsidP="001C56E0" w:rsidRDefault="000B63F2" w14:paraId="1CEE7C94" w14:textId="77777777">
      <w:pPr>
        <w:jc w:val="both"/>
      </w:pPr>
    </w:p>
    <w:p w:rsidR="000B63F2" w:rsidP="001C56E0" w:rsidRDefault="000B63F2" w14:paraId="09EDA94A" w14:textId="77777777">
      <w:pPr>
        <w:jc w:val="both"/>
      </w:pPr>
    </w:p>
    <w:p w:rsidR="000B63F2" w:rsidP="001C56E0" w:rsidRDefault="000B63F2" w14:paraId="54D45A2D" w14:textId="77777777">
      <w:pPr>
        <w:jc w:val="both"/>
      </w:pPr>
    </w:p>
    <w:p w:rsidRPr="001C56E0" w:rsidR="000B63F2" w:rsidP="001C56E0" w:rsidRDefault="000B63F2" w14:paraId="756861DA" w14:textId="77777777">
      <w:pPr>
        <w:jc w:val="both"/>
      </w:pPr>
    </w:p>
    <w:p w:rsidRPr="001C56E0" w:rsidR="008A55B5" w:rsidRDefault="008A55B5" w14:paraId="6864BD43" w14:textId="12126809">
      <w:pPr>
        <w:pStyle w:val="Heading5"/>
        <w:rPr>
          <w:rFonts w:eastAsia="MS Mincho"/>
        </w:rPr>
      </w:pPr>
      <w:r w:rsidRPr="001C56E0">
        <w:rPr>
          <w:rFonts w:eastAsia="MS Mincho"/>
        </w:rPr>
        <w:lastRenderedPageBreak/>
        <w:t xml:space="preserve">Acknowledgment </w:t>
      </w:r>
    </w:p>
    <w:p w:rsidRPr="001C56E0" w:rsidR="008A55B5" w:rsidP="001C56E0" w:rsidRDefault="001C56E0" w14:paraId="7BBDA4B4" w14:textId="42EEB0EB">
      <w:pPr>
        <w:spacing w:after="60"/>
        <w:jc w:val="both"/>
      </w:pPr>
      <w:r w:rsidR="001C56E0">
        <w:rPr/>
        <w:t xml:space="preserve">The AIBL data </w:t>
      </w:r>
      <w:r w:rsidR="242A7A29">
        <w:rPr/>
        <w:t>was</w:t>
      </w:r>
      <w:r w:rsidR="001C56E0">
        <w:rPr/>
        <w:t xml:space="preserve"> provided by the AIBL Study Group. </w:t>
      </w:r>
      <w:r w:rsidR="001C56E0">
        <w:rPr/>
        <w:t>The author thanks the COM736 teaching team for module guidance.</w:t>
      </w:r>
    </w:p>
    <w:p w:rsidR="00EE4362" w:rsidP="00EE4362" w:rsidRDefault="00EE4362" w14:paraId="356486C7" w14:textId="77777777">
      <w:pPr>
        <w:rPr>
          <w:rFonts w:eastAsia="MS Mincho"/>
        </w:rPr>
      </w:pPr>
    </w:p>
    <w:sdt>
      <w:sdtPr>
        <w:id w:val="1866452460"/>
        <w15:appearance w15:val="hidden"/>
        <w:tag w:val="tii-similarity-SU5URVJORVRfYXJ4aXYub3Jn"/>
        <w:placeholder>
          <w:docPart w:val="DefaultPlaceholder_-1854013440"/>
        </w:placeholder>
      </w:sdtPr>
      <w:sdtContent>
        <w:p w:rsidR="008A55B5" w:rsidP="001C56E0" w:rsidRDefault="008A55B5" w14:paraId="0BE0AE71" w14:textId="672DE933">
          <w:pPr>
            <w:pStyle w:val="Heading5"/>
            <w:rPr>
              <w:rFonts w:eastAsia="MS Mincho"/>
              <w:b w:val="0"/>
              <w:bCs w:val="0"/>
            </w:rPr>
          </w:pPr>
          <w:r w:rsidRPr="44CF2607" w:rsidR="008A55B5">
            <w:rPr>
              <w:rFonts w:eastAsia="MS Mincho"/>
              <w:b w:val="0"/>
              <w:bCs w:val="0"/>
            </w:rPr>
            <w:t>References</w:t>
          </w:r>
        </w:p>
      </w:sdtContent>
    </w:sdt>
    <w:p w:rsidRPr="0052483E" w:rsidR="001C56E0" w:rsidP="001C56E0" w:rsidRDefault="001C56E0" w14:paraId="25DE609F" w14:textId="2D944B1F">
      <w:pPr>
        <w:spacing w:after="60"/>
        <w:ind w:left="360" w:hanging="360"/>
        <w:jc w:val="both"/>
        <w:rPr>
          <w:sz w:val="16"/>
          <w:szCs w:val="16"/>
        </w:rPr>
      </w:pPr>
      <w:sdt>
        <w:sdtPr>
          <w:id w:val="699154324"/>
          <w15:appearance w15:val="hidden"/>
          <w:tag w:val="tii-similarity-SU5URVJORVRfYXJ4aXYub3Jn"/>
          <w:placeholder>
            <w:docPart w:val="DefaultPlaceholder_-1854013440"/>
          </w:placeholder>
        </w:sdtPr>
        <w:sdtContent>
          <w:r w:rsidRPr="44CF2607" w:rsidR="001C56E0">
            <w:rPr>
              <w:b w:val="0"/>
              <w:bCs w:val="0"/>
              <w:sz w:val="16"/>
              <w:szCs w:val="16"/>
            </w:rPr>
            <w:t>[1</w:t>
          </w:r>
          <w:r w:rsidRPr="44CF2607" w:rsidR="7EE031C5">
            <w:rPr>
              <w:b w:val="0"/>
              <w:bCs w:val="0"/>
              <w:sz w:val="16"/>
              <w:szCs w:val="16"/>
            </w:rPr>
            <w:t>] World</w:t>
          </w:r>
          <w:r w:rsidRPr="44CF2607" w:rsidR="001C56E0">
            <w:rPr>
              <w:b w:val="0"/>
              <w:bCs w:val="0"/>
              <w:sz w:val="16"/>
              <w:szCs w:val="16"/>
            </w:rPr>
            <w:t xml:space="preserve"> Health Organization, "Dementia," WHO Fact Sheet</w:t>
          </w:r>
        </w:sdtContent>
      </w:sdt>
      <w:r w:rsidRPr="44CF2607" w:rsidR="001C56E0">
        <w:rPr>
          <w:sz w:val="16"/>
          <w:szCs w:val="16"/>
        </w:rPr>
        <w:t xml:space="preserve">, Sept. </w:t>
      </w:r>
      <w:sdt>
        <w:sdtPr>
          <w:id w:val="1699606812"/>
          <w15:appearance w15:val="hidden"/>
          <w:tag w:val="tii-similarity-SU5URVJORVRfYXJ4aXYub3Jn"/>
          <w:placeholder>
            <w:docPart w:val="DefaultPlaceholder_-1854013440"/>
          </w:placeholder>
        </w:sdtPr>
        <w:sdtContent>
          <w:r w:rsidRPr="44CF2607" w:rsidR="001C56E0">
            <w:rPr>
              <w:b w:val="0"/>
              <w:bCs w:val="0"/>
              <w:sz w:val="16"/>
              <w:szCs w:val="16"/>
            </w:rPr>
            <w:t>2023</w:t>
          </w:r>
        </w:sdtContent>
      </w:sdt>
      <w:r w:rsidRPr="44CF2607" w:rsidR="001C56E0">
        <w:rPr>
          <w:sz w:val="16"/>
          <w:szCs w:val="16"/>
        </w:rPr>
        <w:t>.</w:t>
      </w:r>
    </w:p>
    <w:p w:rsidRPr="0052483E" w:rsidR="001C56E0" w:rsidP="001C56E0" w:rsidRDefault="001C56E0" w14:paraId="5F2D6C1B" w14:textId="5031AEF3">
      <w:pPr>
        <w:spacing w:after="60"/>
        <w:ind w:left="360" w:hanging="360"/>
        <w:jc w:val="both"/>
        <w:rPr>
          <w:sz w:val="16"/>
          <w:szCs w:val="16"/>
        </w:rPr>
      </w:pPr>
      <w:r w:rsidRPr="44CF2607" w:rsidR="001C56E0">
        <w:rPr>
          <w:sz w:val="16"/>
          <w:szCs w:val="16"/>
        </w:rPr>
        <w:t>[2</w:t>
      </w:r>
      <w:r w:rsidRPr="44CF2607" w:rsidR="5CAF3EDC">
        <w:rPr>
          <w:sz w:val="16"/>
          <w:szCs w:val="16"/>
        </w:rPr>
        <w:t>] S.</w:t>
      </w:r>
      <w:r w:rsidRPr="44CF2607" w:rsidR="001C56E0">
        <w:rPr>
          <w:sz w:val="16"/>
          <w:szCs w:val="16"/>
        </w:rPr>
        <w:t xml:space="preserve"> M. Laws et al., "The AIBL study of aging," Int. </w:t>
      </w:r>
      <w:r w:rsidRPr="44CF2607" w:rsidR="001C56E0">
        <w:rPr>
          <w:sz w:val="16"/>
          <w:szCs w:val="16"/>
        </w:rPr>
        <w:t>Psychogeriatr</w:t>
      </w:r>
      <w:r w:rsidRPr="44CF2607" w:rsidR="001C56E0">
        <w:rPr>
          <w:sz w:val="16"/>
          <w:szCs w:val="16"/>
        </w:rPr>
        <w:t>., vol. 22, no. 4, pp. 672–687, 2010.</w:t>
      </w:r>
    </w:p>
    <w:p w:rsidRPr="0052483E" w:rsidR="001C56E0" w:rsidP="001C56E0" w:rsidRDefault="001C56E0" w14:paraId="6C99386C" w14:textId="4E64AEF9">
      <w:pPr>
        <w:spacing w:after="60"/>
        <w:ind w:left="360" w:hanging="360"/>
        <w:jc w:val="both"/>
        <w:rPr>
          <w:sz w:val="16"/>
          <w:szCs w:val="16"/>
        </w:rPr>
      </w:pPr>
      <w:r w:rsidRPr="44CF2607" w:rsidR="001C56E0">
        <w:rPr>
          <w:sz w:val="16"/>
          <w:szCs w:val="16"/>
        </w:rPr>
        <w:t>[3</w:t>
      </w:r>
      <w:r w:rsidRPr="44CF2607" w:rsidR="6EA85709">
        <w:rPr>
          <w:sz w:val="16"/>
          <w:szCs w:val="16"/>
        </w:rPr>
        <w:t>] C.</w:t>
      </w:r>
      <w:r w:rsidRPr="44CF2607" w:rsidR="001C56E0">
        <w:rPr>
          <w:sz w:val="16"/>
          <w:szCs w:val="16"/>
        </w:rPr>
        <w:t xml:space="preserve"> Chu et al., "</w:t>
      </w:r>
      <w:sdt>
        <w:sdtPr>
          <w:id w:val="1361536877"/>
          <w15:appearance w15:val="hidden"/>
          <w:tag w:val="tii-similarity-SU5URVJORVRfd3d3LmNvZ3N0YXRlLmNvbQ=="/>
          <w:placeholder>
            <w:docPart w:val="DefaultPlaceholder_-1854013440"/>
          </w:placeholder>
        </w:sdtPr>
        <w:sdtContent>
          <w:r w:rsidRPr="44CF2607" w:rsidR="001C56E0">
            <w:rPr>
              <w:b w:val="0"/>
              <w:bCs w:val="0"/>
              <w:sz w:val="16"/>
              <w:szCs w:val="16"/>
            </w:rPr>
            <w:t>Developing a machine learning stack model to forecast</w:t>
          </w:r>
        </w:sdtContent>
      </w:sdt>
      <w:r w:rsidRPr="44CF2607" w:rsidR="001C56E0">
        <w:rPr>
          <w:sz w:val="16"/>
          <w:szCs w:val="16"/>
        </w:rPr>
        <w:t xml:space="preserve"> </w:t>
      </w:r>
      <w:sdt>
        <w:sdtPr>
          <w:id w:val="1461513124"/>
          <w15:appearance w15:val="hidden"/>
          <w:tag w:val="tii-similarity-SU5URVJORVRfd3d3LmNvZ3N0YXRlLmNvbQ=="/>
          <w:placeholder>
            <w:docPart w:val="DefaultPlaceholder_-1854013440"/>
          </w:placeholder>
        </w:sdtPr>
        <w:sdtContent>
          <w:r w:rsidRPr="44CF2607" w:rsidR="001C56E0">
            <w:rPr>
              <w:b w:val="0"/>
              <w:bCs w:val="0"/>
              <w:sz w:val="16"/>
              <w:szCs w:val="16"/>
            </w:rPr>
            <w:t>the progression of mild cognitive impairment to Alzheimer’s dementia</w:t>
          </w:r>
        </w:sdtContent>
      </w:sdt>
      <w:r w:rsidRPr="44CF2607" w:rsidR="001C56E0">
        <w:rPr>
          <w:sz w:val="16"/>
          <w:szCs w:val="16"/>
        </w:rPr>
        <w:t xml:space="preserve"> using the AIBL study dataset," Alzheimer’s Dement., vol. 21, no. S1, 2025, </w:t>
      </w:r>
      <w:r w:rsidRPr="44CF2607" w:rsidR="001C56E0">
        <w:rPr>
          <w:sz w:val="16"/>
          <w:szCs w:val="16"/>
        </w:rPr>
        <w:t>doi</w:t>
      </w:r>
      <w:r w:rsidRPr="44CF2607" w:rsidR="001C56E0">
        <w:rPr>
          <w:sz w:val="16"/>
          <w:szCs w:val="16"/>
        </w:rPr>
        <w:t>: 10.1002/alz.084645.</w:t>
      </w:r>
    </w:p>
    <w:p w:rsidRPr="0052483E" w:rsidR="001C56E0" w:rsidP="001C56E0" w:rsidRDefault="001C56E0" w14:paraId="4D1687A9" w14:textId="5E7BE3AB">
      <w:pPr>
        <w:spacing w:after="60"/>
        <w:ind w:left="360" w:hanging="360"/>
        <w:jc w:val="both"/>
        <w:rPr>
          <w:sz w:val="16"/>
          <w:szCs w:val="16"/>
        </w:rPr>
      </w:pPr>
      <w:r w:rsidRPr="44CF2607" w:rsidR="001C56E0">
        <w:rPr>
          <w:sz w:val="16"/>
          <w:szCs w:val="16"/>
        </w:rPr>
        <w:t>[4</w:t>
      </w:r>
      <w:r w:rsidRPr="44CF2607" w:rsidR="2C2CC7C9">
        <w:rPr>
          <w:sz w:val="16"/>
          <w:szCs w:val="16"/>
        </w:rPr>
        <w:t xml:space="preserve">] </w:t>
      </w:r>
      <w:sdt>
        <w:sdtPr>
          <w:id w:val="1971874582"/>
          <w15:appearance w15:val="hidden"/>
          <w:tag w:val="tii-similarity-SU5URVJORVRfcHVyZS51bHN0ZXIuYWMudWs="/>
          <w:placeholder>
            <w:docPart w:val="DefaultPlaceholder_-1854013440"/>
          </w:placeholder>
        </w:sdtPr>
        <w:sdtContent>
          <w:r w:rsidRPr="44CF2607" w:rsidR="2C2CC7C9">
            <w:rPr>
              <w:b w:val="0"/>
              <w:bCs w:val="0"/>
              <w:sz w:val="16"/>
              <w:szCs w:val="16"/>
            </w:rPr>
            <w:t>V.</w:t>
          </w:r>
          <w:r w:rsidRPr="44CF2607" w:rsidR="001C56E0">
            <w:rPr>
              <w:b w:val="0"/>
              <w:bCs w:val="0"/>
              <w:sz w:val="16"/>
              <w:szCs w:val="16"/>
            </w:rPr>
            <w:t xml:space="preserve"> </w:t>
          </w:r>
          <w:r w:rsidRPr="44CF2607" w:rsidR="001C56E0">
            <w:rPr>
              <w:b w:val="0"/>
              <w:bCs w:val="0"/>
              <w:sz w:val="16"/>
              <w:szCs w:val="16"/>
            </w:rPr>
            <w:t>Youssofzadeh</w:t>
          </w:r>
          <w:r w:rsidRPr="44CF2607" w:rsidR="001C56E0">
            <w:rPr>
              <w:b w:val="0"/>
              <w:bCs w:val="0"/>
              <w:sz w:val="16"/>
              <w:szCs w:val="16"/>
            </w:rPr>
            <w:t>, B. McGuinness, L. P. Maguire, and K. Wong-Lin,</w:t>
          </w:r>
        </w:sdtContent>
      </w:sdt>
      <w:r w:rsidRPr="44CF2607" w:rsidR="001C56E0">
        <w:rPr>
          <w:sz w:val="16"/>
          <w:szCs w:val="16"/>
        </w:rPr>
        <w:t xml:space="preserve"> </w:t>
      </w:r>
      <w:sdt>
        <w:sdtPr>
          <w:id w:val="242048334"/>
          <w15:appearance w15:val="hidden"/>
          <w:tag w:val="tii-similarity-SU5URVJORVRfcHVyZS51bHN0ZXIuYWMudWs="/>
          <w:placeholder>
            <w:docPart w:val="DefaultPlaceholder_-1854013440"/>
          </w:placeholder>
        </w:sdtPr>
        <w:sdtContent>
          <w:r w:rsidRPr="44CF2607" w:rsidR="001C56E0">
            <w:rPr>
              <w:b w:val="0"/>
              <w:bCs w:val="0"/>
              <w:sz w:val="16"/>
              <w:szCs w:val="16"/>
            </w:rPr>
            <w:t>"Multi-kernel learning with Dartel improves combined MRI-PET</w:t>
          </w:r>
        </w:sdtContent>
      </w:sdt>
      <w:r w:rsidRPr="44CF2607" w:rsidR="001C56E0">
        <w:rPr>
          <w:sz w:val="16"/>
          <w:szCs w:val="16"/>
        </w:rPr>
        <w:t xml:space="preserve"> </w:t>
      </w:r>
      <w:sdt>
        <w:sdtPr>
          <w:id w:val="1633572472"/>
          <w15:appearance w15:val="hidden"/>
          <w:tag w:val="tii-similarity-SU5URVJORVRfcHVyZS51bHN0ZXIuYWMudWs="/>
          <w:placeholder>
            <w:docPart w:val="DefaultPlaceholder_-1854013440"/>
          </w:placeholder>
        </w:sdtPr>
        <w:sdtContent>
          <w:r w:rsidRPr="44CF2607" w:rsidR="001C56E0">
            <w:rPr>
              <w:b w:val="0"/>
              <w:bCs w:val="0"/>
              <w:sz w:val="16"/>
              <w:szCs w:val="16"/>
            </w:rPr>
            <w:t>classification of Alzheimer’s disease in AIBL data</w:t>
          </w:r>
        </w:sdtContent>
      </w:sdt>
      <w:r w:rsidRPr="44CF2607" w:rsidR="001C56E0">
        <w:rPr>
          <w:sz w:val="16"/>
          <w:szCs w:val="16"/>
        </w:rPr>
        <w:t xml:space="preserve">," </w:t>
      </w:r>
      <w:sdt>
        <w:sdtPr>
          <w:id w:val="1910662572"/>
          <w15:appearance w15:val="hidden"/>
          <w:tag w:val="tii-similarity-U1VCTUlUVEVEX1dPUktfb2lkOjI6NTk1NTIzODky"/>
          <w:placeholder>
            <w:docPart w:val="DefaultPlaceholder_-1854013440"/>
          </w:placeholder>
        </w:sdtPr>
        <w:sdtContent>
          <w:r w:rsidRPr="44CF2607" w:rsidR="001C56E0">
            <w:rPr>
              <w:sz w:val="16"/>
              <w:szCs w:val="16"/>
            </w:rPr>
            <w:t>Front. Hum.</w:t>
          </w:r>
        </w:sdtContent>
      </w:sdt>
      <w:r w:rsidRPr="44CF2607" w:rsidR="001C56E0">
        <w:rPr>
          <w:sz w:val="16"/>
          <w:szCs w:val="16"/>
        </w:rPr>
        <w:t xml:space="preserve"> </w:t>
      </w:r>
      <w:sdt>
        <w:sdtPr>
          <w:id w:val="559959622"/>
          <w15:appearance w15:val="hidden"/>
          <w:tag w:val="tii-similarity-U1VCTUlUVEVEX1dPUktfb2lkOjI6NTk1NTIzODky"/>
          <w:placeholder>
            <w:docPart w:val="DefaultPlaceholder_-1854013440"/>
          </w:placeholder>
        </w:sdtPr>
        <w:sdtContent>
          <w:r w:rsidRPr="44CF2607" w:rsidR="001C56E0">
            <w:rPr>
              <w:sz w:val="16"/>
              <w:szCs w:val="16"/>
            </w:rPr>
            <w:t>Neurosci</w:t>
          </w:r>
          <w:r w:rsidRPr="44CF2607" w:rsidR="001C56E0">
            <w:rPr>
              <w:sz w:val="16"/>
              <w:szCs w:val="16"/>
            </w:rPr>
            <w:t>., vol. 11, p. 380</w:t>
          </w:r>
        </w:sdtContent>
      </w:sdt>
      <w:r w:rsidRPr="44CF2607" w:rsidR="001C56E0">
        <w:rPr>
          <w:sz w:val="16"/>
          <w:szCs w:val="16"/>
        </w:rPr>
        <w:t>, 2017.</w:t>
      </w:r>
    </w:p>
    <w:p w:rsidRPr="0052483E" w:rsidR="001C56E0" w:rsidP="001C56E0" w:rsidRDefault="001C56E0" w14:paraId="745F451E" w14:textId="6C54DA6A">
      <w:pPr>
        <w:spacing w:after="60"/>
        <w:ind w:left="360" w:hanging="360"/>
        <w:jc w:val="both"/>
        <w:rPr>
          <w:sz w:val="16"/>
          <w:szCs w:val="16"/>
        </w:rPr>
      </w:pPr>
      <w:r w:rsidRPr="44CF2607" w:rsidR="001C56E0">
        <w:rPr>
          <w:sz w:val="16"/>
          <w:szCs w:val="16"/>
        </w:rPr>
        <w:t>[</w:t>
      </w:r>
      <w:sdt>
        <w:sdtPr>
          <w:id w:val="574281875"/>
          <w15:appearance w15:val="hidden"/>
          <w:tag w:val="tii-similarity-SU5URVJORVRfcGFwZXJzLm5pcHMuY2M="/>
          <w:placeholder>
            <w:docPart w:val="DefaultPlaceholder_-1854013440"/>
          </w:placeholder>
        </w:sdtPr>
        <w:sdtContent>
          <w:r w:rsidRPr="44CF2607" w:rsidR="001C56E0">
            <w:rPr>
              <w:b w:val="0"/>
              <w:bCs w:val="0"/>
              <w:sz w:val="16"/>
              <w:szCs w:val="16"/>
            </w:rPr>
            <w:t>5</w:t>
          </w:r>
          <w:r w:rsidRPr="44CF2607" w:rsidR="40B655E9">
            <w:rPr>
              <w:b w:val="0"/>
              <w:bCs w:val="0"/>
              <w:sz w:val="16"/>
              <w:szCs w:val="16"/>
            </w:rPr>
            <w:t>] A.</w:t>
          </w:r>
          <w:r w:rsidRPr="44CF2607" w:rsidR="001C56E0">
            <w:rPr>
              <w:b w:val="0"/>
              <w:bCs w:val="0"/>
              <w:sz w:val="16"/>
              <w:szCs w:val="16"/>
            </w:rPr>
            <w:t xml:space="preserve"> Gelman and J. Hill, Data Analysis Using Regression and Multilevel</w:t>
          </w:r>
        </w:sdtContent>
      </w:sdt>
      <w:r w:rsidRPr="44CF2607" w:rsidR="001C56E0">
        <w:rPr>
          <w:sz w:val="16"/>
          <w:szCs w:val="16"/>
        </w:rPr>
        <w:t xml:space="preserve"> </w:t>
      </w:r>
      <w:sdt>
        <w:sdtPr>
          <w:id w:val="870710501"/>
          <w15:appearance w15:val="hidden"/>
          <w:tag w:val="tii-similarity-SU5URVJORVRfcGFwZXJzLm5pcHMuY2M="/>
          <w:placeholder>
            <w:docPart w:val="DefaultPlaceholder_-1854013440"/>
          </w:placeholder>
        </w:sdtPr>
        <w:sdtContent>
          <w:r w:rsidRPr="44CF2607" w:rsidR="001C56E0">
            <w:rPr>
              <w:b w:val="0"/>
              <w:bCs w:val="0"/>
              <w:sz w:val="16"/>
              <w:szCs w:val="16"/>
            </w:rPr>
            <w:t>Models. Cambridge</w:t>
          </w:r>
        </w:sdtContent>
      </w:sdt>
      <w:r w:rsidRPr="44CF2607" w:rsidR="001C56E0">
        <w:rPr>
          <w:sz w:val="16"/>
          <w:szCs w:val="16"/>
        </w:rPr>
        <w:t xml:space="preserve">: CUP, </w:t>
      </w:r>
      <w:sdt>
        <w:sdtPr>
          <w:id w:val="170612160"/>
          <w15:appearance w15:val="hidden"/>
          <w:tag w:val="tii-similarity-SU5URVJORVRfcGFwZXJzLm5pcHMuY2M="/>
          <w:placeholder>
            <w:docPart w:val="DefaultPlaceholder_-1854013440"/>
          </w:placeholder>
        </w:sdtPr>
        <w:sdtContent>
          <w:r w:rsidRPr="44CF2607" w:rsidR="001C56E0">
            <w:rPr>
              <w:b w:val="0"/>
              <w:bCs w:val="0"/>
              <w:sz w:val="16"/>
              <w:szCs w:val="16"/>
            </w:rPr>
            <w:t>2007</w:t>
          </w:r>
        </w:sdtContent>
      </w:sdt>
      <w:r w:rsidRPr="44CF2607" w:rsidR="001C56E0">
        <w:rPr>
          <w:sz w:val="16"/>
          <w:szCs w:val="16"/>
        </w:rPr>
        <w:t>.</w:t>
      </w:r>
    </w:p>
    <w:p w:rsidRPr="0052483E" w:rsidR="001C56E0" w:rsidP="001C56E0" w:rsidRDefault="001C56E0" w14:paraId="05EB913B" w14:textId="1DAC1E95">
      <w:pPr>
        <w:spacing w:after="60"/>
        <w:ind w:left="360" w:hanging="360"/>
        <w:jc w:val="both"/>
        <w:rPr>
          <w:sz w:val="16"/>
          <w:szCs w:val="16"/>
        </w:rPr>
      </w:pPr>
      <w:r w:rsidRPr="44CF2607" w:rsidR="001C56E0">
        <w:rPr>
          <w:sz w:val="16"/>
          <w:szCs w:val="16"/>
        </w:rPr>
        <w:t>[</w:t>
      </w:r>
      <w:sdt>
        <w:sdtPr>
          <w:id w:val="583679813"/>
          <w15:appearance w15:val="hidden"/>
          <w:tag w:val="tii-similarity-SU5URVJORVRfY2NjLmluYW9lcC5teA=="/>
          <w:placeholder>
            <w:docPart w:val="DefaultPlaceholder_-1854013440"/>
          </w:placeholder>
        </w:sdtPr>
        <w:sdtContent>
          <w:r w:rsidRPr="44CF2607" w:rsidR="001C56E0">
            <w:rPr>
              <w:b w:val="0"/>
              <w:bCs w:val="0"/>
              <w:sz w:val="16"/>
              <w:szCs w:val="16"/>
            </w:rPr>
            <w:t>6</w:t>
          </w:r>
          <w:r w:rsidRPr="44CF2607" w:rsidR="68C219EB">
            <w:rPr>
              <w:b w:val="0"/>
              <w:bCs w:val="0"/>
              <w:sz w:val="16"/>
              <w:szCs w:val="16"/>
            </w:rPr>
            <w:t>] G.</w:t>
          </w:r>
          <w:r w:rsidRPr="44CF2607" w:rsidR="001C56E0">
            <w:rPr>
              <w:b w:val="0"/>
              <w:bCs w:val="0"/>
              <w:sz w:val="16"/>
              <w:szCs w:val="16"/>
            </w:rPr>
            <w:t xml:space="preserve"> Menardi</w:t>
          </w:r>
        </w:sdtContent>
      </w:sdt>
      <w:r w:rsidRPr="44CF2607" w:rsidR="001C56E0">
        <w:rPr>
          <w:sz w:val="16"/>
          <w:szCs w:val="16"/>
        </w:rPr>
        <w:t xml:space="preserve"> and </w:t>
      </w:r>
      <w:sdt>
        <w:sdtPr>
          <w:id w:val="1461190126"/>
          <w15:appearance w15:val="hidden"/>
          <w:tag w:val="tii-similarity-SU5URVJORVRfY2NjLmluYW9lcC5teA=="/>
          <w:placeholder>
            <w:docPart w:val="DefaultPlaceholder_-1854013440"/>
          </w:placeholder>
        </w:sdtPr>
        <w:sdtContent>
          <w:r w:rsidRPr="44CF2607" w:rsidR="001C56E0">
            <w:rPr>
              <w:b w:val="0"/>
              <w:bCs w:val="0"/>
              <w:sz w:val="16"/>
              <w:szCs w:val="16"/>
            </w:rPr>
            <w:t>N. Torelli, "Training and assessing classification</w:t>
          </w:r>
        </w:sdtContent>
      </w:sdt>
      <w:r w:rsidRPr="44CF2607" w:rsidR="001C56E0">
        <w:rPr>
          <w:sz w:val="16"/>
          <w:szCs w:val="16"/>
        </w:rPr>
        <w:t xml:space="preserve"> </w:t>
      </w:r>
      <w:sdt>
        <w:sdtPr>
          <w:id w:val="1233188410"/>
          <w15:appearance w15:val="hidden"/>
          <w:tag w:val="tii-similarity-SU5URVJORVRfY2NjLmluYW9lcC5teA=="/>
          <w:placeholder>
            <w:docPart w:val="DefaultPlaceholder_-1854013440"/>
          </w:placeholder>
        </w:sdtPr>
        <w:sdtContent>
          <w:r w:rsidRPr="44CF2607" w:rsidR="001C56E0">
            <w:rPr>
              <w:b w:val="0"/>
              <w:bCs w:val="0"/>
              <w:sz w:val="16"/>
              <w:szCs w:val="16"/>
            </w:rPr>
            <w:t xml:space="preserve">rules with imbalanced data," Data Min. </w:t>
          </w:r>
          <w:r w:rsidRPr="44CF2607" w:rsidR="001C56E0">
            <w:rPr>
              <w:b w:val="0"/>
              <w:bCs w:val="0"/>
              <w:sz w:val="16"/>
              <w:szCs w:val="16"/>
            </w:rPr>
            <w:t>Knowl</w:t>
          </w:r>
          <w:r w:rsidRPr="44CF2607" w:rsidR="001C56E0">
            <w:rPr>
              <w:b w:val="0"/>
              <w:bCs w:val="0"/>
              <w:sz w:val="16"/>
              <w:szCs w:val="16"/>
            </w:rPr>
            <w:t xml:space="preserve">. </w:t>
          </w:r>
          <w:r w:rsidRPr="44CF2607" w:rsidR="001C56E0">
            <w:rPr>
              <w:b w:val="0"/>
              <w:bCs w:val="0"/>
              <w:sz w:val="16"/>
              <w:szCs w:val="16"/>
            </w:rPr>
            <w:t>Discov</w:t>
          </w:r>
        </w:sdtContent>
      </w:sdt>
      <w:r w:rsidRPr="44CF2607" w:rsidR="001C56E0">
        <w:rPr>
          <w:sz w:val="16"/>
          <w:szCs w:val="16"/>
        </w:rPr>
        <w:t xml:space="preserve">., </w:t>
      </w:r>
      <w:sdt>
        <w:sdtPr>
          <w:id w:val="1967822296"/>
          <w15:appearance w15:val="hidden"/>
          <w:tag w:val="tii-similarity-U1VCTUlUVEVEX1dPUktfb2lkOjE6NzU5NDA4NjE4"/>
          <w:placeholder>
            <w:docPart w:val="DefaultPlaceholder_-1854013440"/>
          </w:placeholder>
        </w:sdtPr>
        <w:sdtContent>
          <w:r w:rsidRPr="44CF2607" w:rsidR="001C56E0">
            <w:rPr>
              <w:b w:val="0"/>
              <w:bCs w:val="0"/>
              <w:sz w:val="16"/>
              <w:szCs w:val="16"/>
            </w:rPr>
            <w:t>vol. 28, no. 1,</w:t>
          </w:r>
        </w:sdtContent>
      </w:sdt>
      <w:r w:rsidRPr="44CF2607" w:rsidR="001C56E0">
        <w:rPr>
          <w:sz w:val="16"/>
          <w:szCs w:val="16"/>
        </w:rPr>
        <w:t xml:space="preserve"> </w:t>
      </w:r>
      <w:sdt>
        <w:sdtPr>
          <w:id w:val="589064109"/>
          <w15:appearance w15:val="hidden"/>
          <w:tag w:val="tii-similarity-U1VCTUlUVEVEX1dPUktfb2lkOjE6NzU5NDA4NjE4"/>
          <w:placeholder>
            <w:docPart w:val="DefaultPlaceholder_-1854013440"/>
          </w:placeholder>
        </w:sdtPr>
        <w:sdtContent>
          <w:r w:rsidRPr="44CF2607" w:rsidR="001C56E0">
            <w:rPr>
              <w:b w:val="0"/>
              <w:bCs w:val="0"/>
              <w:sz w:val="16"/>
              <w:szCs w:val="16"/>
            </w:rPr>
            <w:t>pp. 92–122, 2014</w:t>
          </w:r>
        </w:sdtContent>
      </w:sdt>
      <w:r w:rsidRPr="44CF2607" w:rsidR="001C56E0">
        <w:rPr>
          <w:sz w:val="16"/>
          <w:szCs w:val="16"/>
        </w:rPr>
        <w:t>.</w:t>
      </w:r>
    </w:p>
    <w:p w:rsidRPr="0052483E" w:rsidR="001C56E0" w:rsidP="001C56E0" w:rsidRDefault="001C56E0" w14:paraId="392F2554" w14:textId="774BD873">
      <w:pPr>
        <w:spacing w:after="60"/>
        <w:ind w:left="360" w:hanging="360"/>
        <w:jc w:val="both"/>
        <w:rPr>
          <w:sz w:val="16"/>
          <w:szCs w:val="16"/>
        </w:rPr>
      </w:pPr>
      <w:r w:rsidRPr="44CF2607" w:rsidR="001C56E0">
        <w:rPr>
          <w:sz w:val="16"/>
          <w:szCs w:val="16"/>
        </w:rPr>
        <w:t>[7</w:t>
      </w:r>
      <w:r w:rsidRPr="44CF2607" w:rsidR="2E222292">
        <w:rPr>
          <w:sz w:val="16"/>
          <w:szCs w:val="16"/>
        </w:rPr>
        <w:t xml:space="preserve">] </w:t>
      </w:r>
      <w:sdt>
        <w:sdtPr>
          <w:id w:val="119850420"/>
          <w15:appearance w15:val="hidden"/>
          <w:tag w:val="tii-similarity-U1VCTUlUVEVEX1dPUktfb2lkOjE6NzU5NDA4NjE4"/>
          <w:placeholder>
            <w:docPart w:val="DefaultPlaceholder_-1854013440"/>
          </w:placeholder>
        </w:sdtPr>
        <w:sdtContent>
          <w:r w:rsidRPr="44CF2607" w:rsidR="2E222292">
            <w:rPr>
              <w:b w:val="0"/>
              <w:bCs w:val="0"/>
              <w:sz w:val="16"/>
              <w:szCs w:val="16"/>
            </w:rPr>
            <w:t>N.</w:t>
          </w:r>
          <w:r w:rsidRPr="44CF2607" w:rsidR="001C56E0">
            <w:rPr>
              <w:b w:val="0"/>
              <w:bCs w:val="0"/>
              <w:sz w:val="16"/>
              <w:szCs w:val="16"/>
            </w:rPr>
            <w:t xml:space="preserve"> </w:t>
          </w:r>
          <w:r w:rsidRPr="44CF2607" w:rsidR="001C56E0">
            <w:rPr>
              <w:b w:val="0"/>
              <w:bCs w:val="0"/>
              <w:sz w:val="16"/>
              <w:szCs w:val="16"/>
            </w:rPr>
            <w:t>Lunardon</w:t>
          </w:r>
          <w:r w:rsidRPr="44CF2607" w:rsidR="001C56E0">
            <w:rPr>
              <w:b w:val="0"/>
              <w:bCs w:val="0"/>
              <w:sz w:val="16"/>
              <w:szCs w:val="16"/>
            </w:rPr>
            <w:t>, G. Menardi, and N. Torelli, "ROSE: A package for binary</w:t>
          </w:r>
        </w:sdtContent>
      </w:sdt>
      <w:r w:rsidRPr="44CF2607" w:rsidR="001C56E0">
        <w:rPr>
          <w:sz w:val="16"/>
          <w:szCs w:val="16"/>
        </w:rPr>
        <w:t xml:space="preserve"> imbalanced </w:t>
      </w:r>
      <w:sdt>
        <w:sdtPr>
          <w:id w:val="1783297485"/>
          <w15:appearance w15:val="hidden"/>
          <w:tag w:val="tii-similarity-U1VCTUlUVEVEX1dPUktfb2lkOjE6NzU5NDA4NjE4"/>
          <w:placeholder>
            <w:docPart w:val="DefaultPlaceholder_-1854013440"/>
          </w:placeholder>
        </w:sdtPr>
        <w:sdtContent>
          <w:r w:rsidRPr="44CF2607" w:rsidR="001C56E0">
            <w:rPr>
              <w:b w:val="0"/>
              <w:bCs w:val="0"/>
              <w:sz w:val="16"/>
              <w:szCs w:val="16"/>
            </w:rPr>
            <w:t>learning," R</w:t>
          </w:r>
        </w:sdtContent>
      </w:sdt>
      <w:r w:rsidRPr="44CF2607" w:rsidR="001C56E0">
        <w:rPr>
          <w:sz w:val="16"/>
          <w:szCs w:val="16"/>
        </w:rPr>
        <w:t xml:space="preserve"> J., </w:t>
      </w:r>
      <w:sdt>
        <w:sdtPr>
          <w:id w:val="1868669234"/>
          <w15:appearance w15:val="hidden"/>
          <w:tag w:val="tii-similarity-U1VCTUlUVEVEX1dPUktfb2lkOjE6NzU5NDA4NjE4"/>
          <w:placeholder>
            <w:docPart w:val="DefaultPlaceholder_-1854013440"/>
          </w:placeholder>
        </w:sdtPr>
        <w:sdtContent>
          <w:r w:rsidRPr="44CF2607" w:rsidR="001C56E0">
            <w:rPr>
              <w:b w:val="0"/>
              <w:bCs w:val="0"/>
              <w:sz w:val="16"/>
              <w:szCs w:val="16"/>
            </w:rPr>
            <w:t>vol. 6, no. 1, pp. 82–92, 2014</w:t>
          </w:r>
        </w:sdtContent>
      </w:sdt>
      <w:r w:rsidRPr="44CF2607" w:rsidR="001C56E0">
        <w:rPr>
          <w:sz w:val="16"/>
          <w:szCs w:val="16"/>
        </w:rPr>
        <w:t>.</w:t>
      </w:r>
    </w:p>
    <w:p w:rsidRPr="0052483E" w:rsidR="001C56E0" w:rsidP="001C56E0" w:rsidRDefault="001C56E0" w14:paraId="60B7D763" w14:textId="2769DC29">
      <w:pPr>
        <w:spacing w:after="60"/>
        <w:ind w:left="360" w:hanging="360"/>
        <w:jc w:val="both"/>
        <w:rPr>
          <w:sz w:val="16"/>
          <w:szCs w:val="16"/>
        </w:rPr>
      </w:pPr>
      <w:r w:rsidRPr="44CF2607" w:rsidR="001C56E0">
        <w:rPr>
          <w:sz w:val="16"/>
          <w:szCs w:val="16"/>
        </w:rPr>
        <w:t>[8</w:t>
      </w:r>
      <w:r w:rsidRPr="44CF2607" w:rsidR="4AC55702">
        <w:rPr>
          <w:sz w:val="16"/>
          <w:szCs w:val="16"/>
        </w:rPr>
        <w:t xml:space="preserve">] </w:t>
      </w:r>
      <w:sdt>
        <w:sdtPr>
          <w:id w:val="343200287"/>
          <w15:appearance w15:val="hidden"/>
          <w:tag w:val="tii-similarity-U1VCTUlUVEVEX1dPUktfb2lkOjE6MjU5MjI4MDM1"/>
          <w:placeholder>
            <w:docPart w:val="DefaultPlaceholder_-1854013440"/>
          </w:placeholder>
        </w:sdtPr>
        <w:sdtContent>
          <w:r w:rsidRPr="44CF2607" w:rsidR="4AC55702">
            <w:rPr>
              <w:b w:val="0"/>
              <w:bCs w:val="0"/>
              <w:sz w:val="16"/>
              <w:szCs w:val="16"/>
            </w:rPr>
            <w:t>I.</w:t>
          </w:r>
          <w:r w:rsidRPr="44CF2607" w:rsidR="001C56E0">
            <w:rPr>
              <w:b w:val="0"/>
              <w:bCs w:val="0"/>
              <w:sz w:val="16"/>
              <w:szCs w:val="16"/>
            </w:rPr>
            <w:t xml:space="preserve"> Guyon et al., "Gene selection for cancer classification using</w:t>
          </w:r>
        </w:sdtContent>
      </w:sdt>
      <w:r w:rsidRPr="44CF2607" w:rsidR="001C56E0">
        <w:rPr>
          <w:sz w:val="16"/>
          <w:szCs w:val="16"/>
        </w:rPr>
        <w:t xml:space="preserve"> SVM," </w:t>
      </w:r>
      <w:sdt>
        <w:sdtPr>
          <w:id w:val="474731823"/>
          <w15:appearance w15:val="hidden"/>
          <w:tag w:val="tii-similarity-U1VCTUlUVEVEX1dPUktfb2lkOjE6MjU5MjI4MDM1"/>
          <w:placeholder>
            <w:docPart w:val="DefaultPlaceholder_-1854013440"/>
          </w:placeholder>
        </w:sdtPr>
        <w:sdtContent>
          <w:r w:rsidRPr="44CF2607" w:rsidR="001C56E0">
            <w:rPr>
              <w:b w:val="0"/>
              <w:bCs w:val="0"/>
              <w:sz w:val="16"/>
              <w:szCs w:val="16"/>
            </w:rPr>
            <w:t>Mach. Learn., vol. 46, pp. 389–422, 2002</w:t>
          </w:r>
        </w:sdtContent>
      </w:sdt>
      <w:r w:rsidRPr="44CF2607" w:rsidR="001C56E0">
        <w:rPr>
          <w:sz w:val="16"/>
          <w:szCs w:val="16"/>
        </w:rPr>
        <w:t>.</w:t>
      </w:r>
    </w:p>
    <w:p w:rsidRPr="0052483E" w:rsidR="001C56E0" w:rsidP="001C56E0" w:rsidRDefault="001C56E0" w14:paraId="07CEE2EF" w14:textId="46A8177F">
      <w:pPr>
        <w:spacing w:after="60"/>
        <w:ind w:left="360" w:hanging="360"/>
        <w:jc w:val="both"/>
        <w:rPr>
          <w:sz w:val="16"/>
          <w:szCs w:val="16"/>
        </w:rPr>
      </w:pPr>
      <w:r w:rsidRPr="44CF2607" w:rsidR="001C56E0">
        <w:rPr>
          <w:sz w:val="16"/>
          <w:szCs w:val="16"/>
        </w:rPr>
        <w:t>[9</w:t>
      </w:r>
      <w:r w:rsidRPr="44CF2607" w:rsidR="570022E9">
        <w:rPr>
          <w:sz w:val="16"/>
          <w:szCs w:val="16"/>
        </w:rPr>
        <w:t>] S.</w:t>
      </w:r>
      <w:r w:rsidRPr="44CF2607" w:rsidR="001C56E0">
        <w:rPr>
          <w:sz w:val="16"/>
          <w:szCs w:val="16"/>
        </w:rPr>
        <w:t xml:space="preserve"> van Buuren, </w:t>
      </w:r>
      <w:sdt>
        <w:sdtPr>
          <w:id w:val="1458680065"/>
          <w15:appearance w15:val="hidden"/>
          <w:tag w:val="tii-similarity-SU5URVJORVRfcHN5Yy1iYXllcy1ub3Rlcy5uZXRsaWZ5LmFwcA=="/>
          <w:placeholder>
            <w:docPart w:val="DefaultPlaceholder_-1854013440"/>
          </w:placeholder>
        </w:sdtPr>
        <w:sdtContent>
          <w:r w:rsidRPr="44CF2607" w:rsidR="001C56E0">
            <w:rPr>
              <w:b w:val="0"/>
              <w:bCs w:val="0"/>
              <w:sz w:val="16"/>
              <w:szCs w:val="16"/>
            </w:rPr>
            <w:t>Flexible Imputation of Missing Data, 2nd ed. Boca</w:t>
          </w:r>
        </w:sdtContent>
      </w:sdt>
      <w:r w:rsidRPr="44CF2607" w:rsidR="001C56E0">
        <w:rPr>
          <w:sz w:val="16"/>
          <w:szCs w:val="16"/>
        </w:rPr>
        <w:t xml:space="preserve"> </w:t>
      </w:r>
      <w:sdt>
        <w:sdtPr>
          <w:id w:val="344100782"/>
          <w15:appearance w15:val="hidden"/>
          <w:tag w:val="tii-similarity-SU5URVJORVRfcHN5Yy1iYXllcy1ub3Rlcy5uZXRsaWZ5LmFwcA=="/>
          <w:placeholder>
            <w:docPart w:val="DefaultPlaceholder_-1854013440"/>
          </w:placeholder>
        </w:sdtPr>
        <w:sdtContent>
          <w:r w:rsidRPr="44CF2607" w:rsidR="001C56E0">
            <w:rPr>
              <w:b w:val="0"/>
              <w:bCs w:val="0"/>
              <w:sz w:val="16"/>
              <w:szCs w:val="16"/>
            </w:rPr>
            <w:t>Raton, FL: CRC Press</w:t>
          </w:r>
        </w:sdtContent>
      </w:sdt>
      <w:r w:rsidRPr="44CF2607" w:rsidR="001C56E0">
        <w:rPr>
          <w:sz w:val="16"/>
          <w:szCs w:val="16"/>
        </w:rPr>
        <w:t xml:space="preserve">, 2018. </w:t>
      </w:r>
      <w:r w:rsidRPr="44CF2607" w:rsidR="001C56E0">
        <w:rPr>
          <w:sz w:val="16"/>
          <w:szCs w:val="16"/>
        </w:rPr>
        <w:t>[Online].</w:t>
      </w:r>
      <w:r w:rsidRPr="44CF2607" w:rsidR="001C56E0">
        <w:rPr>
          <w:sz w:val="16"/>
          <w:szCs w:val="16"/>
        </w:rPr>
        <w:t xml:space="preserve"> Available: </w:t>
      </w:r>
      <w:sdt>
        <w:sdtPr>
          <w:id w:val="124207906"/>
          <w15:appearance w15:val="hidden"/>
          <w:tag w:val="tii-similarity-SU5URVJORVRfcHN5Yy1iYXllcy1ub3Rlcy5uZXRsaWZ5LmFwcA=="/>
          <w:placeholder>
            <w:docPart w:val="DefaultPlaceholder_-1854013440"/>
          </w:placeholder>
        </w:sdtPr>
        <w:sdtContent>
          <w:r w:rsidRPr="44CF2607" w:rsidR="001C56E0">
            <w:rPr>
              <w:b w:val="0"/>
              <w:bCs w:val="0"/>
              <w:sz w:val="16"/>
              <w:szCs w:val="16"/>
            </w:rPr>
            <w:t>https://stefvanbuuren.name/fimd</w:t>
          </w:r>
        </w:sdtContent>
      </w:sdt>
      <w:r w:rsidRPr="44CF2607" w:rsidR="001C56E0">
        <w:rPr>
          <w:sz w:val="16"/>
          <w:szCs w:val="16"/>
        </w:rPr>
        <w:t>/</w:t>
      </w:r>
    </w:p>
    <w:p w:rsidRPr="0052483E" w:rsidR="001C56E0" w:rsidP="001C56E0" w:rsidRDefault="001C56E0" w14:paraId="26E4A8DE" w14:textId="2C8E876B">
      <w:pPr>
        <w:spacing w:after="60"/>
        <w:ind w:left="360" w:hanging="360"/>
        <w:jc w:val="both"/>
        <w:rPr>
          <w:sz w:val="16"/>
          <w:szCs w:val="16"/>
        </w:rPr>
      </w:pPr>
      <w:r w:rsidRPr="44CF2607" w:rsidR="001C56E0">
        <w:rPr>
          <w:sz w:val="16"/>
          <w:szCs w:val="16"/>
        </w:rPr>
        <w:t>[</w:t>
      </w:r>
      <w:sdt>
        <w:sdtPr>
          <w:id w:val="980049032"/>
          <w15:appearance w15:val="hidden"/>
          <w:tag w:val="tii-similarity-U1VCTUlUVEVEX1dPUktfb2lkOjEwNTI1OjM4MzAxNTgyOA=="/>
          <w:placeholder>
            <w:docPart w:val="DefaultPlaceholder_-1854013440"/>
          </w:placeholder>
        </w:sdtPr>
        <w:sdtContent>
          <w:r w:rsidRPr="44CF2607" w:rsidR="001C56E0">
            <w:rPr>
              <w:b w:val="0"/>
              <w:bCs w:val="0"/>
              <w:sz w:val="16"/>
              <w:szCs w:val="16"/>
            </w:rPr>
            <w:t>10</w:t>
          </w:r>
          <w:r w:rsidRPr="44CF2607" w:rsidR="7BF6258A">
            <w:rPr>
              <w:b w:val="0"/>
              <w:bCs w:val="0"/>
              <w:sz w:val="16"/>
              <w:szCs w:val="16"/>
            </w:rPr>
            <w:t>] N.</w:t>
          </w:r>
          <w:r w:rsidRPr="44CF2607" w:rsidR="001C56E0">
            <w:rPr>
              <w:b w:val="0"/>
              <w:bCs w:val="0"/>
              <w:sz w:val="16"/>
              <w:szCs w:val="16"/>
            </w:rPr>
            <w:t xml:space="preserve"> V. Chawla, K. W. Bowyer, L. O. Hall, and W. P. Kegelmeyer,</w:t>
          </w:r>
        </w:sdtContent>
      </w:sdt>
      <w:r w:rsidRPr="44CF2607" w:rsidR="001C56E0">
        <w:rPr>
          <w:sz w:val="16"/>
          <w:szCs w:val="16"/>
        </w:rPr>
        <w:t xml:space="preserve"> </w:t>
      </w:r>
      <w:sdt>
        <w:sdtPr>
          <w:id w:val="875756319"/>
          <w15:appearance w15:val="hidden"/>
          <w:tag w:val="tii-similarity-U1VCTUlUVEVEX1dPUktfb2lkOjEwNTI1OjM4MzAxNTgyOA=="/>
          <w:placeholder>
            <w:docPart w:val="DefaultPlaceholder_-1854013440"/>
          </w:placeholder>
        </w:sdtPr>
        <w:sdtContent>
          <w:r w:rsidRPr="44CF2607" w:rsidR="001C56E0">
            <w:rPr>
              <w:b w:val="0"/>
              <w:bCs w:val="0"/>
              <w:sz w:val="16"/>
              <w:szCs w:val="16"/>
            </w:rPr>
            <w:t xml:space="preserve">"SMOTE: Synthetic minority over-sampling technique," J. </w:t>
          </w:r>
          <w:r w:rsidRPr="44CF2607" w:rsidR="001C56E0">
            <w:rPr>
              <w:b w:val="0"/>
              <w:bCs w:val="0"/>
              <w:sz w:val="16"/>
              <w:szCs w:val="16"/>
            </w:rPr>
            <w:t>Artif</w:t>
          </w:r>
          <w:r w:rsidRPr="44CF2607" w:rsidR="001C56E0">
            <w:rPr>
              <w:b w:val="0"/>
              <w:bCs w:val="0"/>
              <w:sz w:val="16"/>
              <w:szCs w:val="16"/>
            </w:rPr>
            <w:t>. Intell.</w:t>
          </w:r>
        </w:sdtContent>
      </w:sdt>
      <w:r w:rsidRPr="44CF2607" w:rsidR="001C56E0">
        <w:rPr>
          <w:sz w:val="16"/>
          <w:szCs w:val="16"/>
        </w:rPr>
        <w:t xml:space="preserve"> </w:t>
      </w:r>
      <w:sdt>
        <w:sdtPr>
          <w:id w:val="2090135640"/>
          <w15:appearance w15:val="hidden"/>
          <w:tag w:val="tii-similarity-U1VCTUlUVEVEX1dPUktfb2lkOjEwNTI1OjM4MzAxNTgyOA=="/>
          <w:placeholder>
            <w:docPart w:val="DefaultPlaceholder_-1854013440"/>
          </w:placeholder>
        </w:sdtPr>
        <w:sdtContent>
          <w:r w:rsidRPr="44CF2607" w:rsidR="001C56E0">
            <w:rPr>
              <w:b w:val="0"/>
              <w:bCs w:val="0"/>
              <w:sz w:val="16"/>
              <w:szCs w:val="16"/>
            </w:rPr>
            <w:t>Res., vol. 16, pp. 321–357, 2002.</w:t>
          </w:r>
        </w:sdtContent>
      </w:sdt>
    </w:p>
    <w:p w:rsidRPr="001C56E0" w:rsidR="001C56E0" w:rsidP="001C56E0" w:rsidRDefault="001C56E0" w14:paraId="3ECCE445" w14:textId="14D72429">
      <w:pPr>
        <w:spacing w:after="60"/>
        <w:ind w:left="360" w:hanging="360"/>
        <w:jc w:val="both"/>
        <w:rPr>
          <w:sz w:val="16"/>
          <w:szCs w:val="16"/>
        </w:rPr>
      </w:pPr>
      <w:r w:rsidRPr="44CF2607" w:rsidR="001C56E0">
        <w:rPr>
          <w:sz w:val="16"/>
          <w:szCs w:val="16"/>
        </w:rPr>
        <w:t>[11</w:t>
      </w:r>
      <w:r w:rsidRPr="44CF2607" w:rsidR="44EC5649">
        <w:rPr>
          <w:sz w:val="16"/>
          <w:szCs w:val="16"/>
        </w:rPr>
        <w:t>] D.</w:t>
      </w:r>
      <w:r w:rsidRPr="44CF2607" w:rsidR="001C56E0">
        <w:rPr>
          <w:sz w:val="16"/>
          <w:szCs w:val="16"/>
        </w:rPr>
        <w:t xml:space="preserve"> M. Rentz et al., "</w:t>
      </w:r>
      <w:sdt>
        <w:sdtPr>
          <w:id w:val="655728308"/>
          <w15:appearance w15:val="hidden"/>
          <w:tag w:val="tii-similarity-SU5URVJORVRfdGVsLmFyY2hpdmVzLW91dmVydGVzLmZy"/>
          <w:placeholder>
            <w:docPart w:val="DefaultPlaceholder_-1854013440"/>
          </w:placeholder>
        </w:sdtPr>
        <w:sdtContent>
          <w:r w:rsidRPr="44CF2607" w:rsidR="001C56E0">
            <w:rPr>
              <w:b w:val="0"/>
              <w:bCs w:val="0"/>
              <w:sz w:val="16"/>
              <w:szCs w:val="16"/>
            </w:rPr>
            <w:t>Cognition, reserve, and amyloid deposition in</w:t>
          </w:r>
        </w:sdtContent>
      </w:sdt>
      <w:r w:rsidRPr="44CF2607" w:rsidR="001C56E0">
        <w:rPr>
          <w:sz w:val="16"/>
          <w:szCs w:val="16"/>
        </w:rPr>
        <w:t xml:space="preserve"> </w:t>
      </w:r>
      <w:sdt>
        <w:sdtPr>
          <w:id w:val="990957468"/>
          <w15:appearance w15:val="hidden"/>
          <w:tag w:val="tii-similarity-SU5URVJORVRfdGVsLmFyY2hpdmVzLW91dmVydGVzLmZy"/>
          <w:placeholder>
            <w:docPart w:val="DefaultPlaceholder_-1854013440"/>
          </w:placeholder>
        </w:sdtPr>
        <w:sdtContent>
          <w:r w:rsidRPr="44CF2607" w:rsidR="001C56E0">
            <w:rPr>
              <w:b w:val="0"/>
              <w:bCs w:val="0"/>
              <w:sz w:val="16"/>
              <w:szCs w:val="16"/>
            </w:rPr>
            <w:t>normal aging," Ann. Neurol., vol. 67, pp. 353–364, 2010</w:t>
          </w:r>
        </w:sdtContent>
      </w:sdt>
      <w:r w:rsidRPr="44CF2607" w:rsidR="001C56E0">
        <w:rPr>
          <w:sz w:val="16"/>
          <w:szCs w:val="16"/>
        </w:rPr>
        <w:t>.</w:t>
      </w:r>
    </w:p>
    <w:p w:rsidR="001C56E0" w:rsidP="001C56E0" w:rsidRDefault="001C56E0" w14:paraId="1336E6B9" w14:textId="77777777">
      <w:pPr>
        <w:pStyle w:val="references"/>
        <w:numPr>
          <w:ilvl w:val="0"/>
          <w:numId w:val="0"/>
        </w:numPr>
        <w:ind w:left="360" w:hanging="360"/>
        <w:rPr>
          <w:rFonts w:eastAsia="MS Mincho"/>
        </w:rPr>
      </w:pPr>
    </w:p>
    <w:p w:rsidR="44CF2607" w:rsidP="44CF2607" w:rsidRDefault="44CF2607" w14:paraId="22A8B453" w14:textId="190CB9CD">
      <w:pPr>
        <w:pStyle w:val="references"/>
        <w:numPr>
          <w:ilvl w:val="0"/>
          <w:numId w:val="0"/>
        </w:numPr>
        <w:ind w:left="360" w:hanging="360"/>
        <w:rPr>
          <w:rFonts w:eastAsia="MS Mincho"/>
        </w:rPr>
      </w:pPr>
    </w:p>
    <w:p w:rsidR="001C56E0" w:rsidP="001C56E0" w:rsidRDefault="001C56E0" w14:paraId="14021D92" w14:textId="77777777">
      <w:pPr>
        <w:spacing w:before="140" w:after="60"/>
      </w:pPr>
      <w:r>
        <w:rPr>
          <w:b/>
          <w:bCs/>
          <w:smallCaps/>
          <w:sz w:val="18"/>
          <w:szCs w:val="18"/>
        </w:rPr>
        <w:t>Appendix: Additional Figures</w:t>
      </w:r>
    </w:p>
    <w:p w:rsidR="001C56E0" w:rsidP="001C56E0" w:rsidRDefault="001C56E0" w14:paraId="303517D2" w14:textId="77777777">
      <w:pPr>
        <w:spacing w:after="80"/>
        <w:ind w:firstLine="432"/>
        <w:jc w:val="both"/>
      </w:pPr>
      <w:r>
        <w:rPr>
          <w:sz w:val="18"/>
          <w:szCs w:val="18"/>
        </w:rPr>
        <w:t>The following figures support the main body analysis and are provided as supplementary material.</w:t>
      </w:r>
    </w:p>
    <w:p w:rsidR="001C56E0" w:rsidP="001C56E0" w:rsidRDefault="000B63F2" w14:paraId="7FDFAC73" w14:textId="419B075E">
      <w:pPr>
        <w:spacing w:before="120" w:after="60"/>
      </w:pPr>
      <w:r w:rsidRPr="00304843">
        <w:rPr>
          <w:noProof/>
        </w:rPr>
        <w:drawing>
          <wp:inline distT="0" distB="0" distL="0" distR="0" wp14:anchorId="7B8EE312" wp14:editId="17C6D30B">
            <wp:extent cx="2093977" cy="1570483"/>
            <wp:effectExtent l="0" t="0" r="0" b="0"/>
            <wp:docPr id="51" name="/home/claud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3595" cy="1570355"/>
                    </a:xfrm>
                    <a:prstGeom prst="rect">
                      <a:avLst/>
                    </a:prstGeom>
                  </pic:spPr>
                </pic:pic>
              </a:graphicData>
            </a:graphic>
          </wp:inline>
        </w:drawing>
      </w:r>
    </w:p>
    <w:p w:rsidR="001C56E0" w:rsidP="001C56E0" w:rsidRDefault="001C56E0" w14:paraId="42E7BDD3" w14:textId="77777777">
      <w:pPr>
        <w:spacing w:before="60" w:after="120"/>
      </w:pPr>
      <w:r>
        <w:rPr>
          <w:i/>
          <w:iCs/>
          <w:sz w:val="18"/>
          <w:szCs w:val="18"/>
        </w:rPr>
        <w:t>Fig. A1.  RF feature importances — full ranking (top 20).</w:t>
      </w:r>
    </w:p>
    <w:p w:rsidR="001C56E0" w:rsidP="001C56E0" w:rsidRDefault="000B63F2" w14:paraId="4F6A1FD8" w14:textId="7B7F63A6">
      <w:pPr>
        <w:spacing w:before="120" w:after="60"/>
      </w:pPr>
      <w:r w:rsidRPr="00304843">
        <w:rPr>
          <w:noProof/>
        </w:rPr>
        <w:drawing>
          <wp:inline distT="0" distB="0" distL="0" distR="0" wp14:anchorId="437617DE" wp14:editId="0BF61B3B">
            <wp:extent cx="2093977" cy="1257300"/>
            <wp:effectExtent l="0" t="0" r="0" b="0"/>
            <wp:docPr id="49" name="/home/claud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3595" cy="1257300"/>
                    </a:xfrm>
                    <a:prstGeom prst="rect">
                      <a:avLst/>
                    </a:prstGeom>
                  </pic:spPr>
                </pic:pic>
              </a:graphicData>
            </a:graphic>
          </wp:inline>
        </w:drawing>
      </w:r>
    </w:p>
    <w:p w:rsidR="001C56E0" w:rsidP="001C56E0" w:rsidRDefault="001C56E0" w14:paraId="3554734B" w14:textId="77777777">
      <w:pPr>
        <w:spacing w:before="60" w:after="120"/>
      </w:pPr>
      <w:r>
        <w:rPr>
          <w:i/>
          <w:iCs/>
          <w:sz w:val="18"/>
          <w:szCs w:val="18"/>
        </w:rPr>
        <w:t>Fig. A2.  GBM feature importances — relative influence (top 15). CDR dominates both models.</w:t>
      </w:r>
    </w:p>
    <w:p w:rsidR="001C56E0" w:rsidP="001C56E0" w:rsidRDefault="000B63F2" w14:paraId="03D7C537" w14:textId="21FFD9D5">
      <w:pPr>
        <w:spacing w:before="120" w:after="60"/>
      </w:pPr>
      <w:r w:rsidRPr="00304843">
        <w:rPr>
          <w:noProof/>
        </w:rPr>
        <w:drawing>
          <wp:inline distT="0" distB="0" distL="0" distR="0" wp14:anchorId="1EE27D78" wp14:editId="4A510A2A">
            <wp:extent cx="2093977" cy="1257300"/>
            <wp:effectExtent l="0" t="0" r="0" b="0"/>
            <wp:docPr id="47" name="/home/claud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3595" cy="1257300"/>
                    </a:xfrm>
                    <a:prstGeom prst="rect">
                      <a:avLst/>
                    </a:prstGeom>
                  </pic:spPr>
                </pic:pic>
              </a:graphicData>
            </a:graphic>
          </wp:inline>
        </w:drawing>
      </w:r>
    </w:p>
    <w:p w:rsidR="001C56E0" w:rsidP="001C56E0" w:rsidRDefault="001C56E0" w14:paraId="07B56E9B" w14:textId="77777777">
      <w:pPr>
        <w:spacing w:before="60" w:after="120"/>
      </w:pPr>
      <w:r>
        <w:rPr>
          <w:i/>
          <w:iCs/>
          <w:sz w:val="18"/>
          <w:szCs w:val="18"/>
        </w:rPr>
        <w:t>Fig. A3.  RFE learning curve — accuracy vs number of features retained.</w:t>
      </w:r>
    </w:p>
    <w:p w:rsidR="001C56E0" w:rsidP="001C56E0" w:rsidRDefault="000B63F2" w14:paraId="5660D672" w14:textId="0871DA43">
      <w:pPr>
        <w:spacing w:before="120" w:after="60"/>
      </w:pPr>
      <w:r w:rsidRPr="00304843">
        <w:rPr>
          <w:noProof/>
        </w:rPr>
        <w:drawing>
          <wp:inline distT="0" distB="0" distL="0" distR="0" wp14:anchorId="15327EBD" wp14:editId="260AD3F3">
            <wp:extent cx="2093977" cy="1570483"/>
            <wp:effectExtent l="0" t="0" r="0" b="0"/>
            <wp:docPr id="45" name="/home/claud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3595" cy="1570355"/>
                    </a:xfrm>
                    <a:prstGeom prst="rect">
                      <a:avLst/>
                    </a:prstGeom>
                  </pic:spPr>
                </pic:pic>
              </a:graphicData>
            </a:graphic>
          </wp:inline>
        </w:drawing>
      </w:r>
    </w:p>
    <w:p w:rsidR="001C56E0" w:rsidP="001C56E0" w:rsidRDefault="001C56E0" w14:paraId="5C0FBEB6" w14:textId="77777777">
      <w:pPr>
        <w:spacing w:before="60" w:after="120"/>
      </w:pPr>
      <w:r>
        <w:rPr>
          <w:i/>
          <w:iCs/>
          <w:sz w:val="18"/>
          <w:szCs w:val="18"/>
        </w:rPr>
        <w:t>Fig. A4.  PCA biplot — note the column of points at PC1 ≈ 5 likely from a single categorical feature dominating that component.</w:t>
      </w:r>
    </w:p>
    <w:p w:rsidR="001C56E0" w:rsidP="001C56E0" w:rsidRDefault="001C56E0" w14:paraId="7E199BF2" w14:textId="77777777">
      <w:pPr>
        <w:pStyle w:val="references"/>
        <w:numPr>
          <w:ilvl w:val="0"/>
          <w:numId w:val="0"/>
        </w:numPr>
        <w:rPr>
          <w:rFonts w:eastAsia="MS Mincho"/>
        </w:rPr>
        <w:sectPr w:rsidR="001C56E0" w:rsidSect="003E45CF">
          <w:type w:val="continuous"/>
          <w:pgSz w:w="11909" w:h="16834" w:orient="portrait" w:code="9"/>
          <w:pgMar w:top="1080" w:right="659" w:bottom="2434" w:left="734" w:header="720" w:footer="720" w:gutter="0"/>
          <w:cols w:space="360" w:num="2"/>
          <w:docGrid w:linePitch="360"/>
        </w:sectPr>
      </w:pPr>
    </w:p>
    <w:p w:rsidR="008A55B5" w:rsidP="00276735" w:rsidRDefault="008A55B5" w14:paraId="3780833B" w14:textId="77777777">
      <w:pPr>
        <w:jc w:val="both"/>
      </w:pPr>
    </w:p>
    <w:sectPr w:rsidR="008A55B5" w:rsidSect="003E45CF">
      <w:type w:val="continuous"/>
      <w:pgSz w:w="11909" w:h="16834" w:orient="portrait" w:code="9"/>
      <w:pgMar w:top="1080" w:right="659"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uKgYhXy+Y+G5ke" int2:id="KTVsFMFo">
      <int2:state int2:type="spell" int2:value="Rejected"/>
    </int2:textHash>
    <int2:textHash int2:hashCode="ZXGYnFgOxyqQMU" int2:id="SRtmzcKT">
      <int2:state int2:type="spell" int2:value="Rejected"/>
    </int2:textHash>
    <int2:textHash int2:hashCode="tC6MkBU81HHBzH" int2:id="CzqMby5Z">
      <int2:state int2:type="spell" int2:value="Rejected"/>
    </int2:textHash>
    <int2:textHash int2:hashCode="Sqiipc8wLmnATv" int2:id="35I356lr">
      <int2:state int2:type="spell" int2:value="Rejected"/>
    </int2:textHash>
    <int2:bookmark int2:bookmarkName="_Int_rSCL2jIM" int2:invalidationBookmarkName="" int2:hashCode="zTNDpGXWuT5UbM" int2:id="K0nGHZm3">
      <int2:state int2:type="gram" int2:value="Rejected"/>
    </int2:bookmark>
    <int2:bookmark int2:bookmarkName="_Int_0dl0zp7g" int2:invalidationBookmarkName="" int2:hashCode="zTNDpGXWuT5UbM" int2:id="O2N8ixE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4" w15:restartNumberingAfterBreak="0">
    <w:nsid w:val="4189603E"/>
    <w:multiLevelType w:val="multilevel"/>
    <w:tmpl w:val="7EC25854"/>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894803017">
    <w:abstractNumId w:val="2"/>
  </w:num>
  <w:num w:numId="2" w16cid:durableId="1195196868">
    <w:abstractNumId w:val="6"/>
  </w:num>
  <w:num w:numId="3" w16cid:durableId="1035037949">
    <w:abstractNumId w:val="1"/>
  </w:num>
  <w:num w:numId="4" w16cid:durableId="2061901158">
    <w:abstractNumId w:val="4"/>
  </w:num>
  <w:num w:numId="5" w16cid:durableId="387924168">
    <w:abstractNumId w:val="4"/>
  </w:num>
  <w:num w:numId="6" w16cid:durableId="2126000016">
    <w:abstractNumId w:val="4"/>
  </w:num>
  <w:num w:numId="7" w16cid:durableId="1592081772">
    <w:abstractNumId w:val="4"/>
  </w:num>
  <w:num w:numId="8" w16cid:durableId="108670226">
    <w:abstractNumId w:val="5"/>
  </w:num>
  <w:num w:numId="9" w16cid:durableId="1163278439">
    <w:abstractNumId w:val="7"/>
  </w:num>
  <w:num w:numId="10" w16cid:durableId="1944260588">
    <w:abstractNumId w:val="3"/>
  </w:num>
  <w:num w:numId="11" w16cid:durableId="1992899641">
    <w:abstractNumId w:val="0"/>
  </w:num>
  <w:num w:numId="12" w16cid:durableId="4583043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B4641"/>
    <w:rsid w:val="000B63F2"/>
    <w:rsid w:val="0010711E"/>
    <w:rsid w:val="00127EDD"/>
    <w:rsid w:val="001C56E0"/>
    <w:rsid w:val="00276735"/>
    <w:rsid w:val="002864A3"/>
    <w:rsid w:val="002B3B81"/>
    <w:rsid w:val="003A47B5"/>
    <w:rsid w:val="003A59A6"/>
    <w:rsid w:val="003E45CF"/>
    <w:rsid w:val="004059FE"/>
    <w:rsid w:val="004445B3"/>
    <w:rsid w:val="005035AE"/>
    <w:rsid w:val="005B520E"/>
    <w:rsid w:val="005B535B"/>
    <w:rsid w:val="006108A4"/>
    <w:rsid w:val="006C4648"/>
    <w:rsid w:val="0072064C"/>
    <w:rsid w:val="007349D4"/>
    <w:rsid w:val="007442B3"/>
    <w:rsid w:val="00753F7B"/>
    <w:rsid w:val="0078398E"/>
    <w:rsid w:val="00787C5A"/>
    <w:rsid w:val="007919DE"/>
    <w:rsid w:val="007C0308"/>
    <w:rsid w:val="008014D2"/>
    <w:rsid w:val="008054BC"/>
    <w:rsid w:val="008A55B5"/>
    <w:rsid w:val="008A75C8"/>
    <w:rsid w:val="0097508D"/>
    <w:rsid w:val="00A510F7"/>
    <w:rsid w:val="00AC6519"/>
    <w:rsid w:val="00CB1404"/>
    <w:rsid w:val="00CB66E6"/>
    <w:rsid w:val="00D9156D"/>
    <w:rsid w:val="00E91219"/>
    <w:rsid w:val="00EA506F"/>
    <w:rsid w:val="00EE4362"/>
    <w:rsid w:val="00EF18D7"/>
    <w:rsid w:val="00EF1E8A"/>
    <w:rsid w:val="00EF3A1A"/>
    <w:rsid w:val="01523A68"/>
    <w:rsid w:val="01FDE97F"/>
    <w:rsid w:val="05F28BAE"/>
    <w:rsid w:val="0692C823"/>
    <w:rsid w:val="06B0E413"/>
    <w:rsid w:val="0D0C033A"/>
    <w:rsid w:val="10C1BAB3"/>
    <w:rsid w:val="166A761C"/>
    <w:rsid w:val="16810298"/>
    <w:rsid w:val="1D3DF7B0"/>
    <w:rsid w:val="1DC1FD15"/>
    <w:rsid w:val="20027BF6"/>
    <w:rsid w:val="2333A4C0"/>
    <w:rsid w:val="242A7A29"/>
    <w:rsid w:val="27FEA1EF"/>
    <w:rsid w:val="280530E4"/>
    <w:rsid w:val="281368EB"/>
    <w:rsid w:val="2C2CC7C9"/>
    <w:rsid w:val="2E222292"/>
    <w:rsid w:val="32D9102E"/>
    <w:rsid w:val="336ADCAB"/>
    <w:rsid w:val="3889E619"/>
    <w:rsid w:val="38B78B27"/>
    <w:rsid w:val="39D94F24"/>
    <w:rsid w:val="3B16C254"/>
    <w:rsid w:val="40586EC7"/>
    <w:rsid w:val="40B655E9"/>
    <w:rsid w:val="4120086C"/>
    <w:rsid w:val="44CF2607"/>
    <w:rsid w:val="44EC5649"/>
    <w:rsid w:val="498FFEA5"/>
    <w:rsid w:val="4AC55702"/>
    <w:rsid w:val="4B1A3D42"/>
    <w:rsid w:val="4B8F0DB1"/>
    <w:rsid w:val="51655D5B"/>
    <w:rsid w:val="570022E9"/>
    <w:rsid w:val="57AF8580"/>
    <w:rsid w:val="5A832530"/>
    <w:rsid w:val="5CAF3EDC"/>
    <w:rsid w:val="6016BE0A"/>
    <w:rsid w:val="6024804E"/>
    <w:rsid w:val="67971C8B"/>
    <w:rsid w:val="68C219EB"/>
    <w:rsid w:val="6C06B2C4"/>
    <w:rsid w:val="6EA85709"/>
    <w:rsid w:val="710A846B"/>
    <w:rsid w:val="715790F4"/>
    <w:rsid w:val="71807A8C"/>
    <w:rsid w:val="7499C4F9"/>
    <w:rsid w:val="76631565"/>
    <w:rsid w:val="7877AAB2"/>
    <w:rsid w:val="7BF6258A"/>
    <w:rsid w:val="7EE03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ADDB89"/>
  <w15:chartTrackingRefBased/>
  <w15:docId w15:val="{51FFCD95-9DB2-42AD-BE30-1379F003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styleId="DefaultParagraphFont" w:default="1">
    <w:name w:val="Default Paragraph Font"/>
    <w:uiPriority w:val="99"/>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9"/>
    <w:locked/>
    <w:rsid w:val="00CB1404"/>
    <w:rPr>
      <w:rFonts w:ascii="Times New Roman" w:hAnsi="Times New Roman" w:eastAsia="MS Mincho"/>
      <w:smallCaps/>
      <w:noProof/>
    </w:rPr>
  </w:style>
  <w:style w:type="character" w:styleId="Heading2Char" w:customStyle="1">
    <w:name w:val="Heading 2 Char"/>
    <w:link w:val="Heading2"/>
    <w:uiPriority w:val="99"/>
    <w:locked/>
    <w:rsid w:val="00EF3A1A"/>
    <w:rPr>
      <w:rFonts w:ascii="Times New Roman" w:hAnsi="Times New Roman" w:eastAsia="MS Mincho" w:cs="Times New Roman"/>
      <w:i/>
      <w:iCs/>
      <w:noProof/>
      <w:sz w:val="20"/>
      <w:szCs w:val="20"/>
    </w:rPr>
  </w:style>
  <w:style w:type="character" w:styleId="Heading3Char" w:customStyle="1">
    <w:name w:val="Heading 3 Char"/>
    <w:link w:val="Heading3"/>
    <w:uiPriority w:val="99"/>
    <w:locked/>
    <w:rsid w:val="004059FE"/>
    <w:rPr>
      <w:rFonts w:ascii="Times New Roman" w:hAnsi="Times New Roman" w:eastAsia="MS Mincho" w:cs="Times New Roman"/>
      <w:i/>
      <w:iCs/>
      <w:noProof/>
      <w:sz w:val="20"/>
      <w:szCs w:val="20"/>
    </w:rPr>
  </w:style>
  <w:style w:type="character" w:styleId="Heading4Char" w:customStyle="1">
    <w:name w:val="Heading 4 Char"/>
    <w:link w:val="Heading4"/>
    <w:uiPriority w:val="99"/>
    <w:locked/>
    <w:rsid w:val="004059FE"/>
    <w:rPr>
      <w:rFonts w:ascii="Times New Roman" w:hAnsi="Times New Roman" w:eastAsia="MS Mincho" w:cs="Times New Roman"/>
      <w:i/>
      <w:iCs/>
      <w:noProof/>
      <w:sz w:val="20"/>
      <w:szCs w:val="20"/>
    </w:rPr>
  </w:style>
  <w:style w:type="character" w:styleId="Heading5Char" w:customStyle="1">
    <w:name w:val="Heading 5 Char"/>
    <w:link w:val="Heading5"/>
    <w:uiPriority w:val="9"/>
    <w:semiHidden/>
    <w:locked/>
    <w:rPr>
      <w:rFonts w:cs="Times New Roman"/>
      <w:b/>
      <w:bCs/>
      <w:i/>
      <w:iCs/>
      <w:sz w:val="26"/>
      <w:szCs w:val="26"/>
    </w:rPr>
  </w:style>
  <w:style w:type="paragraph" w:styleId="Abstract" w:customStyle="1">
    <w:name w:val="Abstract"/>
    <w:uiPriority w:val="99"/>
    <w:rsid w:val="0097508D"/>
    <w:pPr>
      <w:spacing w:after="200"/>
      <w:ind w:firstLine="274"/>
      <w:jc w:val="both"/>
    </w:pPr>
    <w:rPr>
      <w:rFonts w:ascii="Times New Roman" w:hAnsi="Times New Roman"/>
      <w:b/>
      <w:bCs/>
      <w:sz w:val="18"/>
      <w:szCs w:val="18"/>
    </w:rPr>
  </w:style>
  <w:style w:type="paragraph" w:styleId="Affiliation" w:customStyle="1">
    <w:name w:val="Affiliation"/>
    <w:uiPriority w:val="99"/>
    <w:pPr>
      <w:jc w:val="center"/>
    </w:pPr>
    <w:rPr>
      <w:rFonts w:ascii="Times New Roman" w:hAnsi="Times New Roman"/>
    </w:rPr>
  </w:style>
  <w:style w:type="paragraph" w:styleId="Author" w:customStyle="1">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styleId="BodyTextChar" w:customStyle="1">
    <w:name w:val="Body Text Char"/>
    <w:link w:val="BodyText"/>
    <w:uiPriority w:val="99"/>
    <w:locked/>
    <w:rsid w:val="00753F7B"/>
    <w:rPr>
      <w:rFonts w:ascii="Times New Roman" w:hAnsi="Times New Roman" w:eastAsia="MS Mincho" w:cs="Times New Roman"/>
      <w:sz w:val="20"/>
      <w:szCs w:val="20"/>
    </w:rPr>
  </w:style>
  <w:style w:type="paragraph" w:styleId="bulletlist" w:customStyle="1">
    <w:name w:val="bullet list"/>
    <w:basedOn w:val="BodyText"/>
    <w:rsid w:val="008054BC"/>
    <w:pPr>
      <w:numPr>
        <w:numId w:val="1"/>
      </w:numPr>
      <w:tabs>
        <w:tab w:val="clear" w:pos="648"/>
      </w:tabs>
      <w:ind w:left="576" w:hanging="288"/>
    </w:pPr>
  </w:style>
  <w:style w:type="paragraph" w:styleId="equation" w:customStyle="1">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styleId="footnote" w:customStyle="1">
    <w:name w:val="footnote"/>
    <w:uiPriority w:val="99"/>
    <w:pPr>
      <w:framePr w:vSpace="187" w:hSpace="187" w:wrap="notBeside" w:hAnchor="page" w:vAnchor="text" w:x="6121" w:y="577"/>
      <w:numPr>
        <w:numId w:val="3"/>
      </w:numPr>
      <w:spacing w:after="40"/>
    </w:pPr>
    <w:rPr>
      <w:rFonts w:ascii="Times New Roman" w:hAnsi="Times New Roman"/>
      <w:sz w:val="16"/>
      <w:szCs w:val="16"/>
    </w:rPr>
  </w:style>
  <w:style w:type="paragraph" w:styleId="keywords" w:customStyle="1">
    <w:name w:val="key words"/>
    <w:uiPriority w:val="99"/>
    <w:rsid w:val="0097508D"/>
    <w:pPr>
      <w:spacing w:after="120"/>
      <w:ind w:firstLine="274"/>
      <w:jc w:val="both"/>
    </w:pPr>
    <w:rPr>
      <w:rFonts w:ascii="Times New Roman" w:hAnsi="Times New Roman"/>
      <w:b/>
      <w:bCs/>
      <w:i/>
      <w:iCs/>
      <w:noProof/>
      <w:sz w:val="18"/>
      <w:szCs w:val="18"/>
    </w:rPr>
  </w:style>
  <w:style w:type="paragraph" w:styleId="papersubtitle" w:customStyle="1">
    <w:name w:val="paper subtitle"/>
    <w:uiPriority w:val="99"/>
    <w:rsid w:val="0097508D"/>
    <w:pPr>
      <w:spacing w:after="120"/>
      <w:jc w:val="center"/>
    </w:pPr>
    <w:rPr>
      <w:rFonts w:ascii="Times New Roman" w:hAnsi="Times New Roman"/>
      <w:bCs/>
      <w:noProof/>
      <w:sz w:val="28"/>
      <w:szCs w:val="28"/>
    </w:rPr>
  </w:style>
  <w:style w:type="paragraph" w:styleId="papertitle" w:customStyle="1">
    <w:name w:val="paper title"/>
    <w:uiPriority w:val="99"/>
    <w:rsid w:val="0097508D"/>
    <w:pPr>
      <w:spacing w:after="120"/>
      <w:jc w:val="center"/>
    </w:pPr>
    <w:rPr>
      <w:rFonts w:ascii="Times New Roman" w:hAnsi="Times New Roman"/>
      <w:bCs/>
      <w:noProof/>
      <w:sz w:val="48"/>
      <w:szCs w:val="48"/>
    </w:rPr>
  </w:style>
  <w:style w:type="paragraph" w:styleId="references" w:customStyle="1">
    <w:name w:val="references"/>
    <w:uiPriority w:val="99"/>
    <w:rsid w:val="004445B3"/>
    <w:pPr>
      <w:numPr>
        <w:numId w:val="8"/>
      </w:numPr>
      <w:spacing w:after="50" w:line="180" w:lineRule="exact"/>
      <w:jc w:val="both"/>
    </w:pPr>
    <w:rPr>
      <w:rFonts w:ascii="Times New Roman" w:hAnsi="Times New Roman"/>
      <w:noProof/>
      <w:sz w:val="16"/>
      <w:szCs w:val="16"/>
    </w:rPr>
  </w:style>
  <w:style w:type="paragraph" w:styleId="sponsors" w:customStyle="1">
    <w:name w:val="sponsors"/>
    <w:pPr>
      <w:framePr w:wrap="auto" w:hAnchor="text" w:x="615" w:y="2239"/>
      <w:pBdr>
        <w:top w:val="single" w:color="auto" w:sz="4" w:space="2"/>
      </w:pBdr>
      <w:ind w:firstLine="288"/>
    </w:pPr>
    <w:rPr>
      <w:rFonts w:ascii="Times New Roman" w:hAnsi="Times New Roman"/>
      <w:sz w:val="16"/>
      <w:szCs w:val="16"/>
    </w:rPr>
  </w:style>
  <w:style w:type="paragraph" w:styleId="tablecolhead" w:customStyle="1">
    <w:name w:val="table col head"/>
    <w:basedOn w:val="Normal"/>
    <w:uiPriority w:val="99"/>
    <w:rPr>
      <w:b/>
      <w:bCs/>
      <w:sz w:val="16"/>
      <w:szCs w:val="16"/>
    </w:rPr>
  </w:style>
  <w:style w:type="paragraph" w:styleId="tablecolsubhead" w:customStyle="1">
    <w:name w:val="table col subhead"/>
    <w:basedOn w:val="tablecolhead"/>
    <w:uiPriority w:val="99"/>
    <w:rPr>
      <w:i/>
      <w:iCs/>
      <w:sz w:val="15"/>
      <w:szCs w:val="15"/>
    </w:rPr>
  </w:style>
  <w:style w:type="paragraph" w:styleId="tablecopy" w:customStyle="1">
    <w:name w:val="table copy"/>
    <w:uiPriority w:val="99"/>
    <w:pPr>
      <w:jc w:val="both"/>
    </w:pPr>
    <w:rPr>
      <w:rFonts w:ascii="Times New Roman" w:hAnsi="Times New Roman"/>
      <w:noProof/>
      <w:sz w:val="16"/>
      <w:szCs w:val="16"/>
    </w:rPr>
  </w:style>
  <w:style w:type="paragraph" w:styleId="tablefootnote" w:customStyle="1">
    <w:name w:val="table footnote"/>
    <w:uiPriority w:val="99"/>
    <w:rsid w:val="00CB66E6"/>
    <w:pPr>
      <w:numPr>
        <w:numId w:val="12"/>
      </w:numPr>
      <w:tabs>
        <w:tab w:val="left" w:pos="29"/>
      </w:tabs>
      <w:spacing w:before="60" w:after="30"/>
      <w:ind w:left="360"/>
      <w:jc w:val="right"/>
    </w:pPr>
    <w:rPr>
      <w:rFonts w:ascii="Times New Roman" w:hAnsi="Times New Roman" w:eastAsia="MS Mincho"/>
      <w:sz w:val="12"/>
      <w:szCs w:val="12"/>
    </w:rPr>
  </w:style>
  <w:style w:type="paragraph" w:styleId="tablehead" w:customStyle="1">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dan1" w:customStyle="1">
    <w:name w:val="dan 1"/>
    <w:basedOn w:val="Heading1"/>
    <w:link w:val="dan1Char"/>
    <w:qFormat/>
    <w:rsid w:val="005035AE"/>
  </w:style>
  <w:style w:type="character" w:styleId="dan1Char" w:customStyle="1">
    <w:name w:val="dan 1 Char"/>
    <w:basedOn w:val="Heading1Char"/>
    <w:link w:val="dan1"/>
    <w:rsid w:val="005035AE"/>
    <w:rPr>
      <w:rFonts w:ascii="Times New Roman" w:hAnsi="Times New Roman" w:eastAsia="MS Mincho"/>
      <w:smallCaps/>
      <w:noProof/>
    </w:rPr>
  </w:style>
  <w:style w:type="character" w:styleId="PlaceholderText">
    <w:uiPriority w:val="99"/>
    <w:name w:val="Placeholder Text"/>
    <w:basedOn w:val="DefaultParagraphFont"/>
    <w:semiHidden/>
    <w:rsid w:val="44CF26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e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jpe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jpe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jpeg" Id="rId10" /><Relationship Type="http://schemas.openxmlformats.org/officeDocument/2006/relationships/numbering" Target="numbering.xml" Id="rId4" /><Relationship Type="http://schemas.openxmlformats.org/officeDocument/2006/relationships/image" Target="media/image2.jpeg" Id="rId9" /><Relationship Type="http://schemas.openxmlformats.org/officeDocument/2006/relationships/image" Target="media/image7.png" Id="rId14" /><Relationship Type="http://schemas.microsoft.com/office/2020/10/relationships/intelligence" Target="intelligence2.xml" Id="Rc379d8c9a471491a" /><Relationship Type="http://schemas.openxmlformats.org/officeDocument/2006/relationships/glossaryDocument" Target="glossary/document.xml" Id="R03d202542384463c"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D3A8323-4D52-45A4-8B79-6555BF31247A}"/>
      </w:docPartPr>
      <w:docPartBody>
        <w:p w:rsidR="44CF2607" w:rsidRDefault="44CF2607" w14:paraId="1BD16B86" w14:textId="0C4D2C16">
          <w:r w:rsidRPr="44CF2607" w:rsidR="44CF2607">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030674E12BA94C98BAE70A316E737D" ma:contentTypeVersion="15" ma:contentTypeDescription="Create a new document." ma:contentTypeScope="" ma:versionID="2a66b8df6a2ff3c031907f6a07d2e18f">
  <xsd:schema xmlns:xsd="http://www.w3.org/2001/XMLSchema" xmlns:xs="http://www.w3.org/2001/XMLSchema" xmlns:p="http://schemas.microsoft.com/office/2006/metadata/properties" xmlns:ns2="b108e6f7-aaee-492a-984c-7777fcdbc7a0" xmlns:ns3="569a2196-f28b-47b1-90cc-75ca6d18cdc2" targetNamespace="http://schemas.microsoft.com/office/2006/metadata/properties" ma:root="true" ma:fieldsID="d407e6c713e31fa3e7f97ba24d1b5007" ns2:_="" ns3:_="">
    <xsd:import namespace="b108e6f7-aaee-492a-984c-7777fcdbc7a0"/>
    <xsd:import namespace="569a2196-f28b-47b1-90cc-75ca6d18cd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Imported" minOccurs="0"/>
                <xsd:element ref="ns2:Action" minOccurs="0"/>
                <xsd:element ref="ns2:MediaServiceAutoKeyPoints" minOccurs="0"/>
                <xsd:element ref="ns2:MediaServiceKeyPoint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08e6f7-aaee-492a-984c-7777fcdbc7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Imported" ma:index="18" nillable="true" ma:displayName="Imported" ma:default="0" ma:description="import to Banner FGB" ma:format="Dropdown" ma:internalName="Imported">
      <xsd:simpleType>
        <xsd:restriction base="dms:Boolean"/>
      </xsd:simpleType>
    </xsd:element>
    <xsd:element name="Action" ma:index="19" nillable="true" ma:displayName="Action" ma:format="Dropdown" ma:internalName="Action">
      <xsd:simpleType>
        <xsd:restriction base="dms:Choice">
          <xsd:enumeration value="HOLD"/>
          <xsd:enumeration value="Choice 2"/>
          <xsd:enumeration value="Choice 3"/>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9a2196-f28b-47b1-90cc-75ca6d18cd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ction xmlns="b108e6f7-aaee-492a-984c-7777fcdbc7a0" xsi:nil="true"/>
    <Imported xmlns="b108e6f7-aaee-492a-984c-7777fcdbc7a0">false</Imported>
    <_Flow_SignoffStatus xmlns="b108e6f7-aaee-492a-984c-7777fcdbc7a0" xsi:nil="true"/>
  </documentManagement>
</p:properties>
</file>

<file path=customXml/itemProps1.xml><?xml version="1.0" encoding="utf-8"?>
<ds:datastoreItem xmlns:ds="http://schemas.openxmlformats.org/officeDocument/2006/customXml" ds:itemID="{ED1BFAD5-D1D9-44B0-9ADE-E321DDF9BF15}">
  <ds:schemaRefs>
    <ds:schemaRef ds:uri="http://schemas.microsoft.com/sharepoint/v3/contenttype/forms"/>
  </ds:schemaRefs>
</ds:datastoreItem>
</file>

<file path=customXml/itemProps2.xml><?xml version="1.0" encoding="utf-8"?>
<ds:datastoreItem xmlns:ds="http://schemas.openxmlformats.org/officeDocument/2006/customXml" ds:itemID="{565F29DB-8DB6-473F-AD0D-24230B8A9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08e6f7-aaee-492a-984c-7777fcdbc7a0"/>
    <ds:schemaRef ds:uri="569a2196-f28b-47b1-90cc-75ca6d18cd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F8FD38-89A2-45A7-82C9-62D216C31456}">
  <ds:schemaRefs>
    <ds:schemaRef ds:uri="http://schemas.microsoft.com/office/2006/metadata/properties"/>
    <ds:schemaRef ds:uri="http://schemas.microsoft.com/office/infopath/2007/PartnerControls"/>
    <ds:schemaRef ds:uri="b108e6f7-aaee-492a-984c-7777fcdbc7a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Oluwamayomikun Olukoya</lastModifiedBy>
  <revision>3</revision>
  <dcterms:created xsi:type="dcterms:W3CDTF">2026-05-05T21:22:00.0000000Z</dcterms:created>
  <dcterms:modified xsi:type="dcterms:W3CDTF">2026-05-07T23:18:34.2050864Z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d87beebd-6d49-4ed3-aed5-eff14369ea28</vt:lpwstr>
  </property>
  <property xmlns="http://schemas.openxmlformats.org/officeDocument/2006/custom-properties" fmtid="{D5CDD505-2E9C-101B-9397-08002B2CF9AE}" pid="3" name="TII_WORD_DOCUMENT_FILENAME">
    <vt:lpwstr xmlns:vt="http://schemas.openxmlformats.org/officeDocument/2006/docPropsVTypes">Economical Diagnosis of Cognitive Impairment Using the AIBL Dataset (1).docx</vt:lpwstr>
  </property>
  <property xmlns="http://schemas.openxmlformats.org/officeDocument/2006/custom-properties" fmtid="{D5CDD505-2E9C-101B-9397-08002B2CF9AE}" pid="4" name="TII_WORD_DOCUMENT_ID">
    <vt:lpwstr xmlns:vt="http://schemas.openxmlformats.org/officeDocument/2006/docPropsVTypes">b4c511d2-a57e-4014-a770-62a2fb2fc09e</vt:lpwstr>
  </property>
  <property xmlns="http://schemas.openxmlformats.org/officeDocument/2006/custom-properties" fmtid="{D5CDD505-2E9C-101B-9397-08002B2CF9AE}" pid="5" name="TII_WORD_DOCUMENT_HASH">
    <vt:lpwstr xmlns:vt="http://schemas.openxmlformats.org/officeDocument/2006/docPropsVTypes">64a8699e1db883bfff0606e1531014800971e444c40d12aea8c7d8f054fd0cac</vt:lpwstr>
  </property>
</Properties>
</file>