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/>
      </w:pPr>
      <w:bookmarkStart w:colFirst="0" w:colLast="0" w:name="_az7px6mtzm0r" w:id="0"/>
      <w:bookmarkEnd w:id="0"/>
      <w:r w:rsidDel="00000000" w:rsidR="00000000" w:rsidRPr="00000000">
        <w:rPr>
          <w:rtl w:val="0"/>
        </w:rPr>
        <w:t xml:space="preserve">Plan 1: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Cardioembolic stroke in 65+ yr old with afib (Atrial fibrillation/Arrhythmia ), HTN (</w:t>
      </w:r>
      <w:r w:rsidDel="00000000" w:rsidR="00000000" w:rsidRPr="00000000">
        <w:rPr>
          <w:rFonts w:ascii="Roboto" w:cs="Roboto" w:eastAsia="Roboto" w:hAnsi="Roboto"/>
          <w:color w:val="1c1917"/>
          <w:highlight w:val="white"/>
          <w:rtl w:val="0"/>
        </w:rPr>
        <w:t xml:space="preserve">Hypertension)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, previous TIA (</w:t>
      </w:r>
      <w:r w:rsidDel="00000000" w:rsidR="00000000" w:rsidRPr="00000000">
        <w:rPr>
          <w:rFonts w:ascii="Roboto" w:cs="Roboto" w:eastAsia="Roboto" w:hAnsi="Roboto"/>
          <w:color w:val="1c1917"/>
          <w:highlight w:val="white"/>
          <w:rtl w:val="0"/>
        </w:rPr>
        <w:t xml:space="preserve">Transient ischemic attack)</w:t>
      </w:r>
    </w:p>
    <w:p w:rsidR="00000000" w:rsidDel="00000000" w:rsidP="00000000" w:rsidRDefault="00000000" w:rsidRPr="00000000" w14:paraId="00000003">
      <w:pPr>
        <w:pStyle w:val="Heading3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/>
      </w:pPr>
      <w:bookmarkStart w:colFirst="0" w:colLast="0" w:name="_cmvzphu5lhmy" w:id="1"/>
      <w:bookmarkEnd w:id="1"/>
      <w:r w:rsidDel="00000000" w:rsidR="00000000" w:rsidRPr="00000000">
        <w:rPr>
          <w:rtl w:val="0"/>
        </w:rPr>
        <w:t xml:space="preserve">Guidelines: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Assess bleeding risk and choose warfarin, apixaban, rivaroxaban, or edoxaban based on patient factors.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Maintain INR 2-3 if on warfarin; ensure compliance with NOACs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Hypertension management: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Lifestyle modification: low salt diet, exercise, weight loss if BMI &gt;25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Medications: ACEI or ARB first line, add calcium channel blocker or thiazide diuretic to reach goal BP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Monthly home BP monitoring; adjust meds to maintain BP &lt;130/80 mmHg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Statin therapy even if normal cholesterol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Check baseline lipids, repeat lipid panel at 3 months, and adjust the dose to reach LDL &lt;70 mg/dL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Lifestyle modification: 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Smoking cessation if a smoker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216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Offer counseling, nicotine replacement, and/or pharmacologic support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Diet: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216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Meet with a registered dietician to review the Mediterranean diet principles:</w:t>
      </w:r>
    </w:p>
    <w:p w:rsidR="00000000" w:rsidDel="00000000" w:rsidP="00000000" w:rsidRDefault="00000000" w:rsidRPr="00000000" w14:paraId="00000011">
      <w:pPr>
        <w:numPr>
          <w:ilvl w:val="3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288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Emphasize fruits, vegetables, whole grains, legumes, nuts and olive oil</w:t>
      </w:r>
    </w:p>
    <w:p w:rsidR="00000000" w:rsidDel="00000000" w:rsidP="00000000" w:rsidRDefault="00000000" w:rsidRPr="00000000" w14:paraId="00000012">
      <w:pPr>
        <w:numPr>
          <w:ilvl w:val="3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288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Limit red meat to a few times per month</w:t>
      </w:r>
    </w:p>
    <w:p w:rsidR="00000000" w:rsidDel="00000000" w:rsidP="00000000" w:rsidRDefault="00000000" w:rsidRPr="00000000" w14:paraId="00000013">
      <w:pPr>
        <w:numPr>
          <w:ilvl w:val="3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288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Avoid processed foods, sweets, and sugary beverages</w:t>
      </w:r>
    </w:p>
    <w:p w:rsidR="00000000" w:rsidDel="00000000" w:rsidP="00000000" w:rsidRDefault="00000000" w:rsidRPr="00000000" w14:paraId="00000014">
      <w:pPr>
        <w:numPr>
          <w:ilvl w:val="3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288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Limit alcohol to 1 drink per day maximum</w:t>
      </w:r>
    </w:p>
    <w:p w:rsidR="00000000" w:rsidDel="00000000" w:rsidP="00000000" w:rsidRDefault="00000000" w:rsidRPr="00000000" w14:paraId="00000015">
      <w:pPr>
        <w:numPr>
          <w:ilvl w:val="3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288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Increase intake of omega-3 fatty acids like fish and walnuts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216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Reduce salt intake to &lt;2.3 grams (1500 mg sodium) daily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216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Ask about food preferences and come up with an individualized meal plan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216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Refer to community resources like cooking classes focused on healthy cooking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Exercise: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216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Get clearance from a neurologist before starting the exercise program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216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Start with low-impact cardio like walking, swimming, or stationary bike 2-3 times per week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216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Gradually increase to 30-40 minutes of moderate-intensity cardio 5 times per week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216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Incorporate resistance training 2-3 times per week once tolerated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216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Consider referral for physical therapy for a guided rehab program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216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Advise checking heart rate and staying under the maximum heart rate target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216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Encourage finding enjoyable activities like dancing, golf, yoga, and group classes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Weight Management: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216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Calculate BMI - refer to a dietician if BMI &gt; 25 kg/m2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216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Set realistic weight loss goals, like losing 1 lb per week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216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Keep food and exercise journals to identify areas for improvement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216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Consider commercial weight loss programs that provide social support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216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Make dietary changes for calorie reduction like reducing portion sizes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216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Incorporate strength training to maintain muscle mass in weight loss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216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Follow up monthly to assess progress and barriers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Social support systems and stress reduction techniques</w:t>
      </w:r>
    </w:p>
    <w:p w:rsidR="00000000" w:rsidDel="00000000" w:rsidP="00000000" w:rsidRDefault="00000000" w:rsidRPr="00000000" w14:paraId="0000002A">
      <w:pPr>
        <w:pStyle w:val="Heading3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/>
      </w:pPr>
      <w:bookmarkStart w:colFirst="0" w:colLast="0" w:name="_3ixy9aaon8yr" w:id="2"/>
      <w:bookmarkEnd w:id="2"/>
      <w:r w:rsidDel="00000000" w:rsidR="00000000" w:rsidRPr="00000000">
        <w:rPr>
          <w:rtl w:val="0"/>
        </w:rPr>
        <w:t xml:space="preserve">Treatment Plan: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Apixaban 5mg BID (Twice daily dosing)[1]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Lisinopril 40mg daily, titrate as needed[2]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Atorvastatin 40mg daily[3]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Aspirin 81mg + clopidogrel 75mg daily x 30 days, then transition to apixaban alone [4]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Cardiac monitoring and cardiology follow-up [5]</w:t>
      </w:r>
    </w:p>
    <w:p w:rsidR="00000000" w:rsidDel="00000000" w:rsidP="00000000" w:rsidRDefault="00000000" w:rsidRPr="00000000" w14:paraId="00000030">
      <w:pPr>
        <w:pStyle w:val="Heading3"/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/>
      </w:pPr>
      <w:bookmarkStart w:colFirst="0" w:colLast="0" w:name="_i32kr2co8vfv" w:id="3"/>
      <w:bookmarkEnd w:id="3"/>
      <w:r w:rsidDel="00000000" w:rsidR="00000000" w:rsidRPr="00000000">
        <w:rPr>
          <w:rtl w:val="0"/>
        </w:rPr>
        <w:t xml:space="preserve">Follow up: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Cardiology referral to evaluate for AF ablation if high risk of recurrence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Physical/occupational therapy evaluation if needed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Ophthalmologic exam for retinal emboli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Labs at regular intervals: CBC, CMP, INR if on warfarin</w:t>
      </w:r>
    </w:p>
    <w:p w:rsidR="00000000" w:rsidDel="00000000" w:rsidP="00000000" w:rsidRDefault="00000000" w:rsidRPr="00000000" w14:paraId="00000035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References: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rPr>
          <w:sz w:val="26"/>
          <w:szCs w:val="26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Chan, Noel C., and John W. Eikelboom. "How I manage anticoagulant therapy in older individuals with atrial fibrillation or venous thromboembolism."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Blood, The Journal of the American Society of Hematology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133.21 (2019): 2269-2278.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Fleg, Jerome L., Wilbert S. Aronow, and William H. Frishman. "Cardiovascular drug therapy in the elderly: benefits and challenges."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Nature Reviews Cardiology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8.1 (2011): 13-28.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Diener, Hans-Christoph, and Graeme J. Hankey. "Primary and secondary prevention of ischemic stroke and cerebral hemorrhage: JACC focus seminar."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Journal of the American College of Cardiology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75.15 (2020): 1804-1818.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Pop, Călin, Diana Țînț, and Antoniu Petris. "Management of antithrombotic therapy in patients with atrial fibrillation and acute coronary syndromes."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Reviews in Cardiovascular Medicine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22.3 (2021): 659-675.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Hawkins, Nathaniel M., et al. "Impact of cardiology follow-up care on treatment and outcomes of patients with new atrial fibrillation discharged from the emergency department."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EP Europace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22.5 (2020): 695-703.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c19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