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5E" w:rsidRPr="00A20F5E" w:rsidRDefault="00A20F5E" w:rsidP="00A20F5E">
      <w:pPr>
        <w:shd w:val="clear" w:color="auto" w:fill="FFFFFF"/>
        <w:spacing w:after="0" w:line="615" w:lineRule="atLeast"/>
        <w:jc w:val="center"/>
        <w:textAlignment w:val="center"/>
        <w:outlineLvl w:val="0"/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t>Договор присоединения к системе «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t>»</w:t>
      </w:r>
      <w:r w:rsidRPr="00A20F5E">
        <w:rPr>
          <w:rFonts w:ascii="Arial" w:eastAsia="Times New Roman" w:hAnsi="Arial" w:cs="Arial"/>
          <w:b/>
          <w:bCs/>
          <w:color w:val="070C1C"/>
          <w:spacing w:val="15"/>
          <w:kern w:val="36"/>
          <w:sz w:val="54"/>
          <w:szCs w:val="54"/>
          <w:lang w:eastAsia="ru-RU"/>
        </w:rPr>
        <w:br/>
      </w:r>
    </w:p>
    <w:p w:rsidR="00A20F5E" w:rsidRPr="00A20F5E" w:rsidRDefault="00A20F5E" w:rsidP="00A20F5E">
      <w:pPr>
        <w:spacing w:after="0" w:line="240" w:lineRule="auto"/>
        <w:jc w:val="center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InterLato" w:eastAsia="Times New Roman" w:hAnsi="InterLato" w:cs="Arial"/>
          <w:b/>
          <w:bCs/>
          <w:color w:val="070C1C"/>
          <w:sz w:val="27"/>
          <w:szCs w:val="27"/>
          <w:lang w:eastAsia="ru-RU"/>
        </w:rPr>
        <w:t>Предмет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ТОО «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»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(далее по тексту «Оператор Системы») оказывает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платежную услугу, а также информационно–технологическую поддержку в рамках предоставления Сервисов приема платежей от Держателей карт в пользу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 реализуемые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товары/работы/услуги посредством Системы согласно порядку и при соблюдении требований, определенных условиями настоящего Договора присоединения к системе «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».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свою очередь обязуется оплачивать Оператору Системы вознаграждение в размере, сроки и на условиях, указанных в настоящем Договоре и на сайте Оператора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Оператор Системы по поручению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обязуется осуществлять информационное и технологическое обеспечение Участников расчетов, в том числе по сбору, обработке и передачи информации в рамках Выплат, инициированных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пользу Получателей перевода посредством Системы согласно порядку и при соблюдении требований, определенных условиями настоящего Договора.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свою очередь обязуется оплачивать Оператору Системы вознаграждение в размере, сроки и на условиях, указанных в Договоре и на сайте Оператора Системы.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1.      Рамки предоставления Сервисов определяются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Особенности Договора присоединения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Термины и их значение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2.      Настоящий Договор имеет следующие особенности: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Условия Договора определены Оператором Системы в стандартной форме и подлежат принятию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путем </w:t>
      </w:r>
      <w:hyperlink r:id="rId5" w:history="1">
        <w:r w:rsidRPr="00A20F5E">
          <w:rPr>
            <w:rFonts w:ascii="Arial" w:eastAsia="Times New Roman" w:hAnsi="Arial" w:cs="Arial"/>
            <w:color w:val="3A63ED"/>
            <w:sz w:val="27"/>
            <w:szCs w:val="27"/>
            <w:bdr w:val="none" w:sz="0" w:space="0" w:color="auto" w:frame="1"/>
            <w:lang w:eastAsia="ru-RU"/>
          </w:rPr>
          <w:t>присоединения</w:t>
        </w:r>
      </w:hyperlink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 к данному Договору в целом, без изъятий и ограничений.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Договор содержит Общие и Специальные условия.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Общие условия определены и применимы независимо от Регулирующего законодательства.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Специальные условия определены для дополнения Общих условий в зависимости от Регулирующего законодательства.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 случае противоречий между Общими условиями и Специальными условиями, Специальные условия имеют преимущественную силу.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К </w:t>
      </w:r>
      <w:hyperlink r:id="rId6" w:history="1">
        <w:r w:rsidRPr="00A20F5E">
          <w:rPr>
            <w:rFonts w:ascii="Arial" w:eastAsia="Times New Roman" w:hAnsi="Arial" w:cs="Arial"/>
            <w:color w:val="3A63ED"/>
            <w:sz w:val="27"/>
            <w:szCs w:val="27"/>
            <w:bdr w:val="none" w:sz="0" w:space="0" w:color="auto" w:frame="1"/>
            <w:lang w:eastAsia="ru-RU"/>
          </w:rPr>
          <w:t>документам, образующим составные части Договора</w:t>
        </w:r>
      </w:hyperlink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относятся анкета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а также иные документы, указанные в Специальных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условиях и имеющие преимущественную силу согласно обратной последовательности их перечисления.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Оператор Системы вправе в одностороннем порядке вносить изменения в условия Договора, направленные на: повышение качества и доступности Сервисов; обеспечение эффективности и надежности Системы; соблюдение Регулирующего законодательства, правил и условий Платежных методов и изменений к ним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Е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сли иное не определено в Специальных условиях, изменения в условия Договора вступают в силу с момента опубликования обновленной версии Договора в Интернет на сайте Оператора Системы или условий в Личном кабинете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части доступных способах оплаты и комиссионного вознаграждения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3.      Указанные термины имеют следующее значение: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Оператор Системы - </w:t>
      </w:r>
      <w:r w:rsidRPr="00A20F5E">
        <w:rPr>
          <w:rFonts w:ascii="Arial" w:eastAsia="Times New Roman" w:hAnsi="Arial" w:cs="Arial"/>
          <w:color w:val="ED7838"/>
          <w:sz w:val="27"/>
          <w:szCs w:val="27"/>
          <w:bdr w:val="none" w:sz="0" w:space="0" w:color="auto" w:frame="1"/>
          <w:lang w:eastAsia="ru-RU"/>
        </w:rPr>
        <w:t>юридическое лицо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в соответствии с Регулирующим законодательством обеспечивающее функционирование, использование и присоединение к Системе.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Система «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» - аппаратно-программный комплекс, а также связанные с ним средства и ресурсы, используемые Оператором Системы для предоставления Сервисов.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Сервис - услуги, обеспечивающие информационное и технологическое взаимодействие между бенефициаром (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) - индивидуальным предпринимателем, юридическим лицом и поставщиком платежных услуг (Банком) при осуществлении последним переводов денег в пользу бенефициара по принятым от плательщиков платежам без участия третьих лиц.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Платежное указание – запрос на проведение операции по приему платежа или выплате в счет выполнения Заказа.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Прием платежа – перевод денежных средств от Отправителя в пользу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Выплата – перевод денежных средств от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пользу Получателя.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Операция – операция по приему платежа или выплате.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Заказ – ТРУ, подлежащие поставке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ТРУ – товар и/или работа и/или услуга,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предлагаемые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инфраструктуре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– юридическое лицо или физическое лицо, осуществляющее деятельность без образования юридического лица (индивидуальный предприниматель), в соответствии с Регулирующим законодательством обеспечивающее оформление и выполнение Заказа.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Отправитель – физическое или юридическое лицо, оформившее Заказ с использованием Сервиса приема платежей.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Получатель – физическое или юридическое лицо, оформившее Заказ с использованием Сервиса выплат.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Средства и ресурсы – организационные, информационные, технологические, материальные, интеллектуальные, трудовые,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финансовые, правовые и иные средства и ресурсы, включая (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ими): сайт в сети Интернет, помещение и оборудование, информационная система, персонал, денежные средства, регистрация, лицензии, договорные отношения, правила и стандарты и прочее.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Инфраструктура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– средства и ресурсы, использование которых обеспечивает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Участники расчетов – Отправитель, Получатель,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Банк, Оператор Системы, иные участники расчетов (в случае необходимости).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Платежный метод – совокупность средств и ресурсов под определенной торговой маркой, обеспечивающий авторизацию и соответствующий способ проведения операций между участниками расчетов, включая юридическое лицо (банк или иная организация), которое представляет Платежный метод в отношениях с Оператором Системы и по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Банк – банк второго уровня Республики Казахстан, осуществляющий прием и выплаты денежных средств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при осуществлении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операций покупки товаров/работ/услуг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Держателями карт на сайте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Мерчантор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 использованием Платежных карт (их реквизитов) на условиях Договора интернет –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эквайринга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Договор – настоящий Договор присоединения к Системе «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», размещенный на сайте </w:t>
      </w:r>
      <w:hyperlink r:id="rId7" w:history="1">
        <w:r w:rsidRPr="00A20F5E">
          <w:rPr>
            <w:rFonts w:ascii="Arial" w:eastAsia="Times New Roman" w:hAnsi="Arial" w:cs="Arial"/>
            <w:color w:val="000000"/>
            <w:sz w:val="27"/>
            <w:szCs w:val="27"/>
            <w:bdr w:val="none" w:sz="0" w:space="0" w:color="auto" w:frame="1"/>
            <w:lang w:eastAsia="ru-RU"/>
          </w:rPr>
          <w:t>Оператора</w:t>
        </w:r>
      </w:hyperlink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 Системы, включая Общие условия, Специальные условия и документы, образующие составные части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Личный кабинет – специализированный раздел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Системе Оператора, который предоставляет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доступ к информации об операциях по Сервисам, а также использованию иных функциональных возможностей Системы Оператора.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Регулирующее законодательство – законодательство страны, определенной согласно Специальным условиям в целях регулирования отношений Сторон по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Сторона – Оператор Системы или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согласно контексту условий.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Стороны – Оператор Системы 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Международный платежный метод, МПМ – платежный метод, обеспечивающий авторизацию и прием карт в качестве способа проведения операций под торговой маркой «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Visa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», «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Master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Card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». В качестве МПМ по Договору могут указываться также иные международные и национальные Платежные методы, в том числе,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ими, «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Union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», «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American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Express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», «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Diners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Club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», «JCB»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и.т.д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Применимые требования – Регулирующее законодательство, правила и стандарты используемых Платежных методов, ВНД Оператора Системы, принятые договорные обязательства, включая Договор.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ВНД – внутренние нормативные документы.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Реестр операций – автоматически формируемый отчет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Оператора Системы с указанием сумм и иных данных операций за отчетный период.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Карта, платежная карточка – инструмент доступа к управлению банковским счетом, содержащий информацию, позволяющую держателю такой платежной карточки осуществлять платежи, переводы, получать наличные деньги в банкоматах, а также производить другие операции, определенные банком-эмитентом платежной карточки и на его условиях.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POS-терминал – электронно-механическое устройство, посредством которого производится Прием платежа с использованием платежной карточки.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Иные термины – термины, значение которых определено в Специальных условиях, а также иных документах, образующих составные части Договора.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4.      Порядок предоставления Сервисов определяется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Подключение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к Системе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Проведение расчетов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Отключение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от Системы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5.      Порядок подключения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к Системе состоит из следующих условных этапов: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Регистрация заявки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Доступ к Личному кабинету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Заполнение анкеты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Сбор пакета документов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Проверка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Присоединение к Договору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Интеграция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Настройка параметров обработки операций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Тестирование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Активация «боевого режима»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6.      Регистрация заявки: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инициирует подключение к Системе, используя соответствующий функционал подачи заявки на подключение на сайте </w:t>
      </w:r>
      <w:hyperlink r:id="rId8" w:history="1">
        <w:r w:rsidRPr="00A20F5E">
          <w:rPr>
            <w:rFonts w:ascii="Arial" w:eastAsia="Times New Roman" w:hAnsi="Arial" w:cs="Arial"/>
            <w:color w:val="000000"/>
            <w:sz w:val="27"/>
            <w:szCs w:val="27"/>
            <w:bdr w:val="none" w:sz="0" w:space="0" w:color="auto" w:frame="1"/>
            <w:lang w:eastAsia="ru-RU"/>
          </w:rPr>
          <w:t>Оператора</w:t>
        </w:r>
      </w:hyperlink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 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Система автоматически регистрирует заявку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 подключение и направляет подтверждение на адрес электронной почты, указанный при подаче заявки.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7.      Доступ к Личному кабинету: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Подтверждение о регистрации заявки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 подключение содержит инструкцию, идентификатор (логин) и пароль для авторизации доступа к Личному кабинету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Системе.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Следуя данной инструкции,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авторизуется в Личном кабинете и переходит к заполнению анкеты.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8.      Заполнение анкеты: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заполняет анкету в Личном кабинете путем указания данных в соответствии с Регулирующим законодательством и требованиями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 xml:space="preserve">·            Для содействия в заполнении анкеты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обратиться в службу поддержки Системы по контактам, указанным в полученном подтверждении о регистрации заявки или на сайте </w:t>
      </w:r>
      <w:hyperlink r:id="rId9" w:history="1">
        <w:r w:rsidRPr="00A20F5E">
          <w:rPr>
            <w:rFonts w:ascii="Arial" w:eastAsia="Times New Roman" w:hAnsi="Arial" w:cs="Arial"/>
            <w:color w:val="000000"/>
            <w:sz w:val="27"/>
            <w:szCs w:val="27"/>
            <w:bdr w:val="none" w:sz="0" w:space="0" w:color="auto" w:frame="1"/>
            <w:lang w:eastAsia="ru-RU"/>
          </w:rPr>
          <w:t>Оператора</w:t>
        </w:r>
      </w:hyperlink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 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Для содействия в заполнении анкеты Оператор Системы может самостоятельно связаться 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контактам, указанным в заявке на подключение.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9.      Сбор пакета документов: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предоставляет Оператору Системы пакет документов, требуемый в связи с заполнением анкеты согласно условиям,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указанными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Личном кабинете.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Первичное предоставление пакета документов осуществляется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путем загрузки в Личном кабинете снимков или копий оригиналов документов.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10.    Проверка: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Оператор Системы осуществляет проверку полноты и соответствия анкеты и пакета документов Применимым требованиям.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необходимости согласно Применимым требованиям Оператор Системы запрашивает 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недостающие или дополнительные документы для проверки.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информирует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 результате проверки.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11.    Присоединение к Договору: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положительного результата проверки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присоединяется к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Если иное прямо не определено в Специальных условиях, предоставление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Оператору Системы анкеты, пакета документов и иных требуемых документов, образующих составные части Договора, заверенных в соответствии с Применимыми требованиями, означает принятие условий и присоединение к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Договор вступает в силу с момента регистрации Оператором Системы факта предоставления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анкеты, пакета документов и иных требуемых документов, образующих составные части Договора, заверенных в соответствии с Применимыми требованиями и полностью соответствующих положительному результату проверки.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12.    Интеграция: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предоставляет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документацию по интеграции с Системой и, при необходимости содействует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осуществлении интеграции с Системой.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согласно полученной документации, осуществляет интеграцию с Системой.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13.    Настройка параметров обработки операций: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осуществляет настройку параметров обработки операций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Системе в соответствии с условиями Договора и Применимыми требованиями.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передает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виртуальное и/или материальное оборудование (в том числе электронные и/или наземные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POS-терминалы), подлежащее предоставлению Оператором Системы в рамках Сервисов.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14.    Тестирование: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Первоначально Оператор Системы устанавливает для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тестовый режим проведения операций.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проводит операции в тестовом режиме посредством Системы, сообщает Оператору Системы о выявленных ошибках и устраняет ошибки, возникающие на стороне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устраняет выявленные ошибки и сообщает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 ошибках, возникающих на стороне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15.    Активация «боевого режима»: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После настройки параметров обработки операций Оператор Системы активирует возможность перехода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 «боевой режим» проведения операций в Системе.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16.    Проведение расчетов: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осуществляет сбор денежных средств по принятым Платежам в пользу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поступивших на транзитный счет Оператора Системы, указанный в специальных условиях Договора, посредством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производит перевод денежных средств по принятым Платежам на расчетный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указанный в заполненной и подписанной анкете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за вычетом вознаграждения, а также в сроки и на условиях, указанных в Договоре.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Операции Выплат осуществляются за счет баланса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Системе, пополняемого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путем перечисления денежных средств на транзитный счет Оператора Системы, указанный Договоре. Пополнение баланса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Системе осуществляется в течение 3 (трех) рабочих дней, с момента поступления денежных средств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 транзитный счет Оператора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Оператор Системы выдает Держателю карты электронный документ, подтверждающий совершение Держателем карты операции и списание с Держателя карты комиссии Оператора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Вознаграждение Оператора Системы за прием Платежей и осуществление Выплат составляет определенную процентную ставку от суммы принятых Платежей и от сумм Выплат соответственно, размеры которых указаны в разделе специальных условий Договора, и рассчитывается на основании Реестров, которые формируется Системой автоматически.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ежемесячно до 10 (десятого) числа месяца, следующего за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отчетным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формирует в электронном виде и высылает на электронный адрес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Акт оказанных услуг (выполненных работ), на основании Реестров.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обязан в срок не более 10 (десяти) рабочих дней со дня получения Акта оказанных услуг (выполненных работ) осуществить сверку данных, указанных в Реестрах.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При отсутствии возражений, Оператор Системы в указанный в настоящем пункте срок подписывает и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 xml:space="preserve">направляет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2 (два) экземпляра Акта оказанных услуг (выполненных работ) и счет-фактуру на сумму вознаграждения, указанного в Акте оказанных услуг (выполненных работ).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подписывает и направляет Оператору Системы один экземпляр Акта оказанных услуг (выполненных работ), подписанного Сторонами, в течени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и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5 (пяти) рабочих дней после его получения от Оператора Системы. Второй экземпляр остается 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При несогласии с данными, приведенными в Реестрах,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обязано в течение 5 (пяти) рабочих дней предоставить Оператору Системы мотивированное обоснование и подтверждающие документы для осуществления сверки.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течение 5 (пяти) рабочих дней со дня поступления мотивированного обоснования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Оператор Системы обязан осуществить сверку выявленных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расхождений. Если при осуществлении сверки расхождения будут подтверждены, Оператор Системы в течение срока, установленного настоящим пунктом Договора, формирует Акт оказанных услуг на основании исправленных данных. Далее Стороны действуют на основании ч.7 и 8 п.16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если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в течение 10 (десяти) рабочих дней, не предоставит в адрес Оператор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Системы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 подписанный со своей стороны Акт оказанных услуг (выполненных работ) или мотивированное обоснование, предусмотренное ч.9 п.16 Договора, Акт оказанных услуг (выполненных работ) считается принятым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а услуги надлежащим образом оказанными Оператором Системы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17.    Порядок отключения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от Системы состоит из следующих условных этапов: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Уведомление о расторжении Договора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Блокировка операций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Возврат оборудования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Проведение взаиморасчетов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Закрытие доступа к Личному кабинету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Хранение документов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18.    Уведомление о расторжении Договора: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Сторона, инициирующая отключение от Системы, направляет другой стороне уведомление о расторжении Договора в соответствии с требованиями Договора, с указанием даты и оснований (при наличии) такого расторжения.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Срок расторжения устанавливается в соответствии с требованиями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19.    Блокировка операций: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Сторона, инициирующая отключение от Системы, блокирует проведение операций посредством Системы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 даты направления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уведомления о расторжении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Сторона, получившая уведомление о расторжении Договора, блокирует проведение операций посредством Системы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с даты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получения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такого уведомления, если иное не определено Специальными условиями.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20.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    </w:t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Возврат/отключение оборудования: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возвращает и/или отключается от оборудования (как от электронных, так и от наземных POS-терминалов),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предоставленное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Оператором Системы в рамках Сервисов.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21.    Проведение взаиморасчетов: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После блокировки проведения операций посредством Системы, стороны производят сверку и последующий взаиморасчет в срок и на условиях, определенных в Договоре.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возвращает (если ранее были получены) наземное оборудование (POS-терминалы), предоставленные Оператором Системы в рамках Сервисов.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22.    Закрытие доступа к Личному кабинету: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Договор считается расторгнутым при условии завершения сторонами взаиморасчетов и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выполнения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принятых по нему обязательств.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После расторжения Договора Оператор Системы блокирует доступ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к Личному кабинету в Системе.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23.    Хранение данных и документов: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После расторжения Договора Оператор Системы хранит данные и документы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течение срока, установленного в соответствии со Специальными условиями и иными Применимыми требованиями.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24.    Требования к предоставлению Сервисов определяются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возврат денег Держателю карты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Ответственность Сторон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Конфиденциальность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Урегулирование споров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Требования к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для использования Системы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25.    Права и обязательства Сторон определяются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Права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Обязательства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Права Оператора Системы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Обязательства Оператора Системы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26.    Права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Использовать функциональные возможности Системы после предоставления Оператором Системы доступа в Личный кабинет;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Получать от Оператора Системы техническую и информационную поддержку в связи с использованием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 xml:space="preserve">·            Размещать информацию о сотрудничестве с Оператором Системы, включая логотип, товарный знак, фирменное наименование или иные средства индивидуализации Оператора Системы в инфраструктуре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согласно Применимым требованиям, с условием предварительного согласования Сторонами;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Прекратить взаимодействие с Системой в соответствии с Применимыми требованиями;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Выставлять претензии и требовать возмещения реального ущерба в случае нарушения Применимых требований Оператором;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Использовать электронное и/или наземное оборудование (в том числе POS-терминалы), предоставленные Оператором Системы в рамках Сервисов, согласно Условиям ответственного хранения и иным документам, образующим составные части Договора.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27.    Обязательства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Использовать Систему согласно условиям Договора и Применимым требованиям;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Предоставлять Оператору достоверные данные и информацию, необходимую в связи с использованием Системы, включая подключение и отключение от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Обеспечивать и отвечать за конфиденциальность своего идентификатора (логина) и пароля доступа в Личный кабинет;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Незамедлительно сообщать Оператору Системы о предполагаемом несанкционированном использовании идентификатора и пароля доступа и функционала в Личном кабинете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Обеспечивать и отвечать за безопасность инфраструктуры, используемой при взаимодействии с Системой;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Оказывать содействие и предоставлять необходимую информацию при проведении расследований в соответствии с Применимыми требованиями;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 использовать Систему в незаконной деятельности в соответствии с Применимыми требованиями, в том числе,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этим, не предпринимать действий, вводящих в заблуждение других лиц, относительно предоставляемых Оператором Системы Сервисов, и способных прямо или косвенно нанести ущерб деловой репутации Оператора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Самостоятельно учитывать доходы от операций в Системе и уплачивать налоги в соответствии с законодательством страны своей юрисдикции;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Не допускать отрицательного баланса денежных средств в Системе;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·            Нести полную ответственность за отмененные и/или оспоренные операции, проведенные в Системе;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Возмещать по требованию Оператора Системы подтвержденный реальный ущерб, понесенный в результате нарушения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Применимых требований, в том числе по штрафным санкциям, наложенным Платежным методом в течение 180 (ста восьмидесяти) календарных дней с даты расторжения Договора;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Самостоятельно разрешать любые претензии, которые не связаны непосредственно с нарушением Оператором Системы своих обязательств по Договору;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Размещать информацию об условиях проведения операций, предоставленную Оператором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Не передавать свои права и обязательства по Договору третьему лицу, не являющемуся Стороной по Договору, без письменного согласия Оператора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Своевременно информировать в письменном виде обо всех изменениях, имеющих существенное значение для полного и своевременного исполнения обязательств по Договору;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Принимать, хранить и возвращать полученное наземное оборудование (в том числе POS-терминалы), предоставляемое Оператором Системы в рамках Сервисов, согласно Условиям ответственного хранения и иным документам, образующим составные части Договора.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28.    Права Оператора Системы: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Использовать данные и информацию, предоставленные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для предоставления Сервисов;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Размещать информацию о сотрудничестве 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включая логотип, товарный знак, фирменное наименование или иные средства индивидуализации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используемых Оператором Системы средствах и ресурсах согласно Применимым требованиям, с условием предварительного согласования Сторонами;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Определять и вносить изменения в условия Договора, порядок и условия функционирования, а также функциональные возможности Системы согласно Применимым требованиям;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Модифицировать, расширять или ограничивать функционал Личного кабинета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а также заблокировать доступ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Личный кабинет согласно Применимым требованиям;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Приостанавливать функционирование Системы и/или предоставление Сервисов в случае обнаружения неисправностей, ошибок и сбоев, либо нарушения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Применимых требований, а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также в целях профилактики или предотвращения несанкционированного доступа и проведения подозрительных или мошеннических операций;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Запрашивать 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данные и информацию, а также принимать иные меры, необходимые в связи с предоставлением Сервисов;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Выставлять претензии и требовать возмещения реального ущерба в случае нарушения Применимых требований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Взимать комиссионное вознаграждение, предусмотренное Договором;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Списать в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безакцептном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порядке с баланса Системы суммы неисполненных обязательств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Договору;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Проверять соблюдение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требований к хранению и использованию полученного оборудования (в том числе POS-терминалов), предоставленного Оператором Системы в рамках Сервисов, согласно Условиям ответственного хранения и иным документам, образующим составные части Договора.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29.    Обязательства Оператора Системы: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Обеспечить круглосуточное бесперебойное функционирование Системы, за исключением случаев приостановления функционирования Системы, предусмотренных согласно Применимым требованиям;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Незамедлительно предпринимать необходимые меры по возобновлению функционирования Системы и уведомить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 причинах и сроках приостановления функционирования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Обеспечивать надлежащие условия безопасности при проведении операций, в том числе конфиденциальность и защиту персональных данных согласно Применимым требованиям;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Обеспечивать информационную и техническую поддержку в связи с предоставлением Сервисов;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Возмещать по требованию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подтвержденный реальный ущерб, понесенный в результате нарушения Оператором Системы Применимых требований;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Передать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оборудование (в том числе POS-терминалы), подлежащее предоставлению Оператором Системы в рамках Сервисов, согласно Условиям ответственного хранения и иным документам, образующим составные части Договора.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30.    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, возврат денег Держателю карты: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получения Оператором Системы /Банком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Оператор Системы обращается с письменным требованием (на бумажном носителе или в электронном виде) к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о предоставлении документов, подтверждающих исполнение обязательств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по поставке товаров/работ/услуг.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Мерчент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должен предоставить Оператору Системы документы, затребованные Оператором Системы в соответствии с условиями Договора, в срок указанный в Специальных условиях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При отсутствии от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документов, необходимых для предоставления Оператору Системы /Банк в соответствии с условиями Договора, либо в случае непредставления их в срок, указанный в ч.1 и 2 п.30 Договора, либо в случае, если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согласно с фактом неисполнения или ненадлежащего исполнения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перед Держателем карт своих обязательств, либо в случае, если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Транзакция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бесспорно признана МПС/Банком мошеннической, Оператор Системы за счет своих средств возвращает сумму Транзакции, подлежащую возврату Держателю карт, и впоследствии удерживает данную сумму за счет денег, подлежащих переводу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.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настоящим выражает свое согласие на удержание Оператором Системы суммы Транзакции, возвращенной Оператором Системы либо Банком Держателю карт, за счет денег, подлежащих переводу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Зачисление Оператором Системы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денег по Транзакциям не означает окончательного и бесспорного признания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санкционированности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таких Транзакций. Такие Транзакции могут быть признаны несанкционированными в соответствии с законодательством Республики Казахстан, Договором и правилами МПС. Настоящим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принимает на себя все риски, связанные с возможным признанием Транзакции мошеннической и обязуется в случае получения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безусловно возвратить деньги Оператору Системы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случае выявления Банком, Оператором Системы Транзакций,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санкционированность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которых вызывает у Банка, Оператора Системы подозрения, Оператор Системы вправе приостановить Платежи по оплате товаров/работ/услуг в Интернет-магазине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 использованием карт через Систему Интернет-платежей Оператора Системы и зачисление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денег по таким Транзакциям. Приостановление зачисления денег осуществляется на срок расследования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санкционированности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Транзакций, но не более 180 (ста восьмидесяти) календарных дней с момента совершения Транзакции.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признания МПС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несанкционированности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Транзакций, до назначения Банку, Оператору Системы МПС санкций, Оператор Системы вправе в целях обеспечения исполнения не переводить суммы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несанкционированым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Транзакциям.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 xml:space="preserve">·            Если до истечения сроков, предусмотренных требованиями МПС для назначения санкций по Транзакциям, такие санкции будут назначены, Оператор Системы возмещает МПС суммы несанкционированных Транзакций за счет средств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Если по истечении сроков, предусмотренных требованиями МПС для назначения санкций по Транзакциям, такие санкции Оператору Системы назначены не будут, либо если МПС признает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санкционированность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Транзакций, суммы по которым удержаны Оператором Системы в соответствии с настоящей частью Договора, Оператор Системы обязуется возвратить удержанные средства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если сумма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превысит 1% (один процент) от суммы всех Транзакций в отношении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предшествующий дате превышения указанного процентного соотношения, Оператор Системы вправе приостановить обработку Транзакций (включая зачисление денег на счета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) на срок до 180 (ста восьмидесяти) календарных дней.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отражения информации в отчетах МПС по сомнительным карточным операциям и/или количество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Chargeback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транзакциям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превысило 5% от суммы всех транзакций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 один год, Оператор Системы вправе прекратить обработку транзакций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включая зачисление денег на счет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31.    Ответственность Сторон определяется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Ответственность Сторон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Ограничение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ответсвенности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Форс-мажор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32.    Ответственность Сторон: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полном объеме несет ответственность перед Оператором Системы за действия лиц, имеющих доступ к управлению Интернет-магазином, в отношении Платежей и Выплат, совершенных посредством Системы с нарушением требований Договора, а также за действия, направленные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против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Оператору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Системы и Участников расчетов.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в полном объеме несет ответственность перед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 действия лиц, имеющих доступ к управлению Системой, в отношении Платежей и Выплат, совершенных посредством Системы с нарушением требований Договора, а также за действия, направленные против Участников расчетов.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полном объеме несет ответственность за убытки, причиненные Оператору Системы и третьим лицам в результате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несоблюдения им Применимых требований в осуществлении своей деятельности, включая осуществление деятельности посредством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Оператор Системы в полном объеме несет ответственность за убытки, причиненные третьим лицам,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результате несоблюдения им применимых требований в осуществлении своей деятельности, включая осуществление деятельности посредством собственной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возникновения у Оператора Системы каких-либо убытков по вине действия или бездействия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связи с заявлениями, предъявленными Держателями карт по причине неисполнения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своих обязательств перед Держателями карт,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обязуется данный ущерб возместить в полном объеме.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возникновения у Оператора Системы каких-либо фактически причиненных убытков, связанных с действием или бездействием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причине ненадлежащего и (или) несвоевременного исполнения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своих обязательств перед Оператором Системы,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обязуется возместить данные убытки полном объеме.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Стороны несут ответственность за разглашение или утерю конфиденциальной информации, указанной в Договоре, в соответствии с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действующим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Применимыми требованиями.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обязан возместить Оператору Системы любые понесенные им убытки, если такие убытки были связаны с продажей ТРУ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запрещенных к продаже в соответствии с Применимыми требованиями и запрещенных к продаже через Интернет в соответствии с Правилами Международных платежных систем.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обязан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возместить Оператору Системы штрафы и убытки, вызванные штрафами в рамках нарушений МПС по вине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В случае если действия одной из Сторон повлекут за собой причинение убытков (включая реальный ущерб и упущенную выгоду) и/или ущерба деловой репутации другой Стороне, виновная Сторона возмещает пострадавшей Стороне причиненные убытки/ущерб, сумма которых указывается в предъявляемой пострадавшей Стороной письменной претензии и может быть скорректирована актом согласования, подписанным обеими Сторонами.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Стороны в каждом отдельном случае оговаривают порядок возмещения убытков и/или ущерба.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lastRenderedPageBreak/>
        <w:t>33.    </w:t>
      </w:r>
      <w:proofErr w:type="gram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Оператор Системы не несет ответственности перед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в случае: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предоставления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доступа к Личному кабинету третьим лицам или иного нарушения обязательств конфиденциальности;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наличия вредоносного программного обеспечения при доступе к Личному кабинету и/или взаимодействии с Системой;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любых споров в отношении сделок по поставке ТРУ или иных сделок, заключаемых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 использованием Системы;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претензий налоговых, регулирующих и правоохранительных органов к.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касательно отчетности или налогообложения по его сделкам с использованием Системы;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временной неработоспособности Системы, связанной со сбоями и ошибками в работе аппаратных или программных средств, произошедшими не по причине умышленных действий или бездействия Оператора Системы (включая,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ими, отключение или повреждение электропитания и сетей связи, сбои в работе программного обеспечения, Интернет-провайдеров, Платежных систем, Банка, иных каналов связи и коммуникаций, которые обеспечиваются и обслуживаются третьими лицами);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невозможности связаться 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связи с предоставлением им недостоверных данных и информации либо не предоставлением обновленных данных и информации;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 проведения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ознакомления с актуальной версией условий Договора или Применимыми требованиями;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нарушения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либо клиентами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Применимых требований;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некорректного или ошибочного формирования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распоряжений в Личном кабинете;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ошибочной или некорректной передачи Оператору Системы Платежного указания;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некорректного заполнения и/или передачи Оператору Системы некорректных данных Платежного указания;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косвенных убытков, выходящих за рамки реального ущерба, в том числе: упущенная выгода от потери и/или неполучения контрактов, клиентов, времени, данных, репутации или иных ресурсов;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недостоверности информации, размещенной на информационных ресурсах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34.    Обстоятельства непреодолимой силы (далее - Форс-мажор):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Стороны освобождаются от ответственности за частичное или полное неисполнение обязательств по Договору в том случае, если это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неисполнение явилось следствием обстоятельств непреодолимой силы (форс-мажор), к которым относятся события, которые Стороны не могли предвидеть или предотвратить, в том числе: стихийные природные явления, военные действия, забастовки, массовые беспорядки, другие обстоятельства, влекущие за собой отказ техники, сбои программного обеспечения и системы передачи данных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а также издание актов государственными органами, вступление в силу законодательных актов, правительственных постановлений и распоряжений органов государственной власти и управления, обязательных для исполнения одной из Сторон и препятствующих исполнению обязательств по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При наступлении форс-мажорных обстоятельств, каждая из Сторон,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неисполняющая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свои обязательства по Договору, обязана принять меры по извещению об этом в письменном виде другой из Сторон в течение 7 (семи) календарных дней с момента возникновения таких обстоятельств.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35.    Конфиденциальность: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Стороны принимают на себя обязательства не разглашать полученные в ходе исполнения Договора сведения, являющиеся конфиденциальными для каждой из Сторон, за исключением ответственных лиц Сторон, уполномоченных получать и передавать информацию от имени каждой из Сторон в связи с исполнением обязательств по Договору. Под конфиденциальной информацией в Договоре понимаются не являющиеся общедоступными сведения, разглашение которых может привести к возникновению убытков и/или повлиять на деловую репутацию любой из Сторон, в том числе информация о клиентах, суммах и объемах операций, комиссионном вознаграждении и иной коммерческой информации Сторон.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Факт заключения Договора и предмет Договора не являются конфиденциальной информацией.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Конфиденциальная информация может быть предоставлена третьим лицам только в порядке, установленном Применимыми требованиями, для исполнения условий Договора или по предварительному письменному согласованию со Стороной, информация которой может быть разглашена (с подробным указанием характера информации, указанием третьего лица, целей, причин и прочих существенных моментов, касающихся информации).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прекращения действия Договора Стороны обязуются не разглашать и не использовать в своих интересах и/или в интересах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третьих лиц полученную информацию без письменного разрешения соответствующей из Сторон, предоставившей информацию.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36.    Урегулирование споров: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Во всем, что не предусмотрено условиями Договора, Стороны руководствуются Регулирующим законодательством, определенном в Специальных условиях.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Все споры и разногласия, возникающие из Договора или в связи с ним, будут по возможности, разрешаться путем переговоров между Сторонами.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Порядок предъявления претензий предусмотрен Применимым требованием.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Если Стороны не придут к соглашению, споры и разногласия подлежат разрешению в судебной инстанции, определенной в Специальных условиях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Стороны соглашаются, что предоставляемые ими данные и информация в письменной или электронной форме будут приниматься во внимание при рассмотрении любых споров и разногласий, связанных с Договором.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37.    Срок действия и прекращение обязательств: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Если иное не определено в Специальных условиях, Договор заключается на неопределенный срок.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Стороны обязуются немедленно извещать друг друга об изменении своих банковских и почтовых реквизитов, а также о любых изменениях своего юридического статуса, которые могут существенным образом отразиться на исполнении обязатель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ств Ст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оронами Договора. До момента получения уведомления обязательства, исполненные по предоставленным ранее реквизитам, считаются исполненными надлежащим образом.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Если иное не определено в Специальных условиях,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Договор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быть расторгнут по инициативе любой из Сторон путем направления другой из Сторон письменного уведомления, скрепленного печатью и подписью уполномоченного лица о намерении расторгнуть Договор не менее чем за 30 (тридцать) календарных дней.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Договор считается расторгнутым при условии исполнения Сторонами всех обязательств по Договору. При этом обязательства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возмещению Оператору Системы подтвержденного реального ущерба по штрафным санкциям, наложенным Платежным методом в результате нарушения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Применимых требований, сохраняют силу в течение 180 (ста восьмидесяти) календарных дней с даты расторжения Договора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·            П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о заявлению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действие Договора может быть приостановлено на срок, не превышающий 10 (десять) календарных дней. Основанием для приостановления действия Договора является письменное согласие Оператора Системы на обращение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содержащее условия приостановления и порядок действий по возобновлению действия Договора.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Договор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быть расторгнут в одностороннем порядке по инициативе Оператора Системы без соблюдения сроков, предусмотренных в ч.3 п.37 Договора в случае отказа платежных сервисов и банка -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эквайера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от обслуживания Приема платежей и Выплат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независимо от причины такого отказа.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Договор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быть расторгнут в одностороннем порядке по инициативе Оператора Системы без соблюдения сроков, предусмотренных в ч.3 п.37 Договора, в случае нарушения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своих обязательств по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Договор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быть расторгнут в одностороннем порядке по инициативе Оператора Системы без соблюдения сроков, предусмотренных в части 3 пункта 37 Договора. Договора, в случае возникновения в процессе изучения операций, совершаемых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подозрений о том, что деловые отношения в рамках настоящего Договора используются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целях легализации (отмывания) доходов, полученных преступным путем, или финансирования терроризма.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Договор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может быть расторгнут в одностороннем порядке по инициативе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без соблюдения сроков, предусмотренных в ч.3 п.37 Договора, в случае нарушения Оператором Системы обязательств по Договору.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В случае расторжения договора в одностороннем порядке, Сторона-инициатор направляет Уведомление о расторжении Договора в письменном виде по почте с уведомлением о вручении или курьером. Договор считается расторгнутым с момента получения такого уведомления другой Стороной.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В случае расторжения договора в одностороннем порядке Оператор Системы производит отключение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от Системы в день вручения Стороне Уведомления о расторжении Договора.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38.    Требования к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 для использования Системы определяются следующим: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Перечень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запрещенных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ТРУ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Требования к инфраструктуре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lastRenderedPageBreak/>
        <w:t>39.    Перечень запрещенных ТРУ: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программное обеспечение, содержащее код, который направлен на незаконное использование данных и информации и/или нанесение вреда пользователю (в том числе,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ими: взлом учетной записи пользователя; несанкционированное нарушение целостности и/или удаление и/или изменение и/или копирование данных и информации);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   любая продукция или услуги, которые нарушают нормы общественной морали и порядка (в том числе,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но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не ограничиваясь ими: проституция и порнографические материалы; материалы, направленные на пропаганду межнациональной, этнической, расовой или религиозной розни, дискриминацию, насилие, терроризма, причинение вреда; распространение информации, которая нарушает конфиденциальность, честь, достоинство и деловую репутацию физических и юридических лиц);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незаконное распространение оружия, наркотических и психотропных веществ 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прекурсоров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любая продукция или услуги, связанные с незаконным использованием объектов интеллектуальной собственности, а также государственной, коммерческой, банковской и иной охраняемой информации;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любая продукция или услуги, оказываемые без наличия требуемых разрешений (лицензий);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любая продукция или услуги, направленные на легализацию (отмывание) денег и (или) иного имущества, полученных преступным путем;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   иные ТРУ, запрещенные согласно Применимым требованиям.</w:t>
      </w:r>
    </w:p>
    <w:p w:rsidR="00A20F5E" w:rsidRPr="00A20F5E" w:rsidRDefault="00A20F5E" w:rsidP="00A20F5E">
      <w:pPr>
        <w:spacing w:after="0" w:line="360" w:lineRule="atLeast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 xml:space="preserve">40.    Требования к инфраструктуре </w:t>
      </w:r>
      <w:proofErr w:type="spellStart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Интернет-сайт, пользовательское приложение и иные интерфейсы взаимодействия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 пользователем (далее - Интерфейсы взаимодействия) должны быть функционирующими согласно отображаемому для пользователя назначению;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Интерфейсы взаимодействия должны иметь статический IP адрес (Подтверждающее письмо по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доп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.з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апросу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Оператора Системы). Интерфейсы взаимодействия могут располагаться на платном хостинге (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Virtual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VPS, VDS), в принадлежащем или арендуемом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центре обработки данных (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collocation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) или серверной комнате по месту фактического расположения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на арендуемой им площади.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Запрещено размещать в Интерфейсах взаимодействия графическую, текстовую информацию (в том числе скрытую) сексуального,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наркотического, политического, националистического характера, а также размещать в Интерфейсах взаимодействия ссылки на данную информацию.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Для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 имеющих пункты выдачи товаров, на сайте должна быть размещена информация об их расположении (фактический адрес, схема проезда).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В Интерфейсах взаимодействия должна быть размещена информация о юридическом лице (почтовый адрес, ИНН/БИН контактных данных сотрудников ответственных за общение с клиентами).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В Интерфейсах взаимодействия должны быть размещены документы, необходимые для совершения сделки между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 клиентами в соответствии с требованиями Регулирующего Законодательства (публичная оферта и иные документы). При этом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,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публичной оферте должна быть указана дата ее последнего утверждения и размещения.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В Интерфейсах взаимодействия должна быть размещена информация (текстовая, графическая) о лицензиях, разрешениях от производителя или государственных органов на реализуемую продукцию (услуги), позволяющая однозначно установить кому, кем, на какой срок, на какой вид деятельности или на какие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ТРУ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выданы данные документы (для лицензируемой деятельности).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В Интерфейсах взаимодействия должна быть размещена информация о мерах выполняемых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обеспечению безопасности платежей с использованием пластиковой карты, инструкция по проведению платежей с использованием пластиковой карты, правилах возврата платежей, товаров и решения спорных ситуаций в соответствии с требованиями Регулирующего Законодательства.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В Интерфейсах взаимодействия не должно быть неработающих страниц (соответствующих кодам соответствия HTTP 301,302,401,403,404,502); не должно быть ссылок, у которых направление перехода не совпадает с бизнес-логикой Интерфейсов взаимодействия; не должно быть ссылок, у которых направление перехода не совпадает с заявленным в Интерфейсах взаимодействия; не должно быть страниц/ссылок, перенаправляющих на другие сайты (без явного указания перенаправления).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Между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 Оператором Системы должен быть определен и протестирован механизм оплаты с поддержкой 3D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Secure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 механизм возврата денег.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Заявленные категории ТРУ, отраженные в Анкете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должны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>соответствовать категориям ТРУ в Интерфейсах взаимодействия.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Интерфейсы взаимодействия должны поддерживать защищённое HTTPS соединение с типом сертификата не ниже SSL123 с действительным сроком действия.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Если в Интерфейсах взаимодействия реализован личный кабинет, то: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процесс аутентификации пользователя должен быть защищен HTTPS;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процесс регистрации нового пользователя должен быть защищен HTTPS и защитой от подбора паролей роботами;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оформление заказа (ввод контактных данных, выбор доставки и т.д.) должно быть защищено HTTPS и защитой от подбора паролей роботами)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Если в Интерфейсах взаимодействия отсутствует личный кабинет, то: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оформление заказа (ввод контактных данных, выбор доставки и т.д.) должно быть защищено HTTPS и защитой от подбора паролей роботами;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Панель управления (панель администратора) Интерфейсов взаимодействия, при ее наличии, должна быть защищена HTTPS и защитой от подбора паролей роботами.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В интерфейсах взаимодействия должны быть указаны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описание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 цены на ТРУ;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Описание и цены на ТРУ, отображаемые в интерфейсах взаимодействия, должны соответствовать актуальному описанию и ценам на поставляемые ТРУ, в том числе в рамках передачи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данных в Систему;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Интерфейсы взаимодействия должны содержать актуальную информацию об условиях поставки ТРУ, в том числе касательно возврата ТРУ, а также информацию об условиях проведения операций, предоставленную для размещения Оператором Системы.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41. Гарантии: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</w:t>
      </w:r>
      <w:proofErr w:type="spellStart"/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получено согласие субъектов персональных данных, в том числе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держателеи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̆ банковских (платежных) карт, персональные данные которых содержатся в получаемых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документах и информации, на обработку и передачу таких персональных данных в соответствии с регулирующим законодательством, указанным в Договоре с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При этом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обязуется предоставить по требованию Оператора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подтверждение получения такого согласия субъектов персональных данных;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согласен на передачу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lastRenderedPageBreak/>
        <w:t xml:space="preserve">его персональных данных, а также персональных данных субъектов персональных данных третьим лицам при наличии надлежащим образом заключенных между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 такими третьими лицами договоров;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</w:t>
      </w:r>
      <w:proofErr w:type="spellStart"/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обязуется возмещать убытки, в том числе путем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безакцептного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списания денежных средств, подлежащих перечислению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, понесенные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в отношении операций, совершенных с нарушением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требований регулирующего законодательства и принятых обязательств по Договору с Оператором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 xml:space="preserve">·         обязательства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 поставке товаров и/или работ и/или услуг, а также их качеству, безопасности и законности, не порождают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для Оператора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Системы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каких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бы то ни было обязательств.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должен полностью возместить Оператору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убытки, которые Оператор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понесет в связи с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любои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̆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претензиеи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̆ или спором, возникшим в отношении товаров и/или работ и/или услуг, поставляемых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;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законно владеет и/или имеет права и требуемые разрешения (лицензии) на любую используемую им интеллектуальную собственность и/или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осуществляемыи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̆ вид деятельности, свидетельства о которых предоставляются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Мерчантом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Оператору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.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42. П</w:t>
      </w:r>
      <w:r w:rsidRPr="00A20F5E">
        <w:rPr>
          <w:rFonts w:ascii="Arial" w:eastAsia="Times New Roman" w:hAnsi="Arial" w:cs="Arial"/>
          <w:b/>
          <w:bCs/>
          <w:color w:val="070C1C"/>
          <w:sz w:val="27"/>
          <w:szCs w:val="27"/>
          <w:lang w:eastAsia="ru-RU"/>
        </w:rPr>
        <w:t>оручения:</w:t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·         </w:t>
      </w:r>
      <w:proofErr w:type="spellStart"/>
      <w:proofErr w:type="gram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поручает и наделяет Оператора Системы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Freedom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Pay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правом подавать в интересах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заявления и иные документы в банки, а также иные организации для заключения и исполнения договоров, предметом которых является обеспечение информационного и технологического взаимодействия для осуществления расчетов по операциям оплаты физическими лицами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Мерчанту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и/или выплат </w:t>
      </w:r>
      <w:proofErr w:type="spellStart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>Мерчанта</w:t>
      </w:r>
      <w:proofErr w:type="spell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физическим лицам за товары и/или работы и/или услуги, в</w:t>
      </w:r>
      <w:proofErr w:type="gramEnd"/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t xml:space="preserve"> том числе с использованием банковских (платежных) карт и электронных денег.</w:t>
      </w:r>
    </w:p>
    <w:p w:rsidR="00A20F5E" w:rsidRPr="00A20F5E" w:rsidRDefault="00A20F5E" w:rsidP="00A20F5E">
      <w:pPr>
        <w:spacing w:after="0" w:line="240" w:lineRule="auto"/>
        <w:jc w:val="center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InterLato" w:eastAsia="Times New Roman" w:hAnsi="InterLato" w:cs="Arial"/>
          <w:b/>
          <w:bCs/>
          <w:color w:val="070C1C"/>
          <w:sz w:val="27"/>
          <w:szCs w:val="27"/>
          <w:lang w:eastAsia="ru-RU"/>
        </w:rPr>
        <w:t>Специальные условия</w:t>
      </w:r>
    </w:p>
    <w:p w:rsidR="00A20F5E" w:rsidRPr="00A20F5E" w:rsidRDefault="00A20F5E" w:rsidP="00A20F5E">
      <w:pPr>
        <w:spacing w:after="0" w:line="240" w:lineRule="auto"/>
        <w:rPr>
          <w:rFonts w:ascii="Arial" w:eastAsia="Times New Roman" w:hAnsi="Arial" w:cs="Arial"/>
          <w:color w:val="070C1C"/>
          <w:sz w:val="27"/>
          <w:szCs w:val="27"/>
          <w:lang w:eastAsia="ru-RU"/>
        </w:rPr>
      </w:pP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</w:r>
      <w:r w:rsidRPr="00A20F5E">
        <w:rPr>
          <w:rFonts w:ascii="Arial" w:eastAsia="Times New Roman" w:hAnsi="Arial" w:cs="Arial"/>
          <w:color w:val="070C1C"/>
          <w:sz w:val="27"/>
          <w:szCs w:val="27"/>
          <w:lang w:eastAsia="ru-RU"/>
        </w:rPr>
        <w:br/>
        <w:t>Специальные условия определены для дополнения Общих условий в зависимости от условий Банка и Регулирующего законодательства.</w:t>
      </w: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239"/>
        <w:gridCol w:w="4996"/>
      </w:tblGrid>
      <w:tr w:rsidR="00A20F5E" w:rsidRPr="00A20F5E" w:rsidTr="00A20F5E">
        <w:trPr>
          <w:tblHeader/>
        </w:trPr>
        <w:tc>
          <w:tcPr>
            <w:tcW w:w="500" w:type="pct"/>
            <w:tcBorders>
              <w:top w:val="single" w:sz="12" w:space="0" w:color="393D49"/>
              <w:left w:val="single" w:sz="12" w:space="0" w:color="393D49"/>
              <w:bottom w:val="single" w:sz="12" w:space="0" w:color="393D49"/>
              <w:right w:val="single" w:sz="12" w:space="0" w:color="393D4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  <w:lastRenderedPageBreak/>
              <w:t>Пункт договора</w:t>
            </w:r>
          </w:p>
        </w:tc>
        <w:tc>
          <w:tcPr>
            <w:tcW w:w="1500" w:type="pct"/>
            <w:tcBorders>
              <w:top w:val="single" w:sz="12" w:space="0" w:color="393D49"/>
              <w:left w:val="single" w:sz="12" w:space="0" w:color="393D49"/>
              <w:bottom w:val="single" w:sz="12" w:space="0" w:color="393D49"/>
              <w:right w:val="single" w:sz="12" w:space="0" w:color="393D4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  <w:t>Общее условие</w:t>
            </w:r>
          </w:p>
        </w:tc>
        <w:tc>
          <w:tcPr>
            <w:tcW w:w="2250" w:type="pct"/>
            <w:tcBorders>
              <w:top w:val="single" w:sz="12" w:space="0" w:color="393D49"/>
              <w:left w:val="single" w:sz="12" w:space="0" w:color="393D49"/>
              <w:bottom w:val="single" w:sz="12" w:space="0" w:color="393D49"/>
              <w:right w:val="single" w:sz="12" w:space="0" w:color="393D49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Arial" w:eastAsia="Times New Roman" w:hAnsi="Arial" w:cs="Arial"/>
                <w:b/>
                <w:bCs/>
                <w:color w:val="393D49"/>
                <w:sz w:val="24"/>
                <w:szCs w:val="24"/>
                <w:lang w:eastAsia="ru-RU"/>
              </w:rPr>
              <w:t>Дополнение</w:t>
            </w:r>
          </w:p>
        </w:tc>
      </w:tr>
      <w:tr w:rsidR="00A20F5E" w:rsidRPr="00A20F5E" w:rsidTr="00A20F5E">
        <w:tc>
          <w:tcPr>
            <w:tcW w:w="500" w:type="pct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00" w:type="pct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Наименование предоставляемых платежных услуг Оператором Системы</w:t>
            </w:r>
          </w:p>
        </w:tc>
        <w:tc>
          <w:tcPr>
            <w:tcW w:w="2250" w:type="pct"/>
            <w:tcBorders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- услуги по приему наличных денег для осуществления платежа без открытия банковского счета отправителя денег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- услуги по обработке платежей, инициированных клиентом в электронной форме, и передаче необходимой информации банку, организации, осуществляющей отдельные виды банковской операции, для осуществления платежа и (или) перевода либо принятия денег по данным платежам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Срок оказания платежных услуг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От 1 (одного) до 4 (четырех) рабочих дней со </w:t>
            </w:r>
            <w:proofErr w:type="gram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дня</w:t>
            </w:r>
            <w:proofErr w:type="gram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следующего за днем Приема платежа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Валюта Договора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Все расчеты и платежи осуществляются Сторонами в национальной валюте Республики Казахстан, в тенге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Номер учетной регистрации Оператора Системы в качестве платежной организации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№ 02-23-153 от 13.03.2023г.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Регулирующее законодательство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Законодательство Республики Казахстан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НДС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Оператор Системы не является плательщиком НДС в соответствии со статьей 397 Закона Республики Казахстан от 25 декабря 2017 года № 120-VI «О налогах и других обязательных платежах в бюджет (Налоговый кодекс)»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Документы, образующие составные части Договора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Договор, Анкета, Гарантии и поручения, Условия ответственного хранения, Форма Акта об оказанных услугах, Иные документы согласно требованиям Оператора Системы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Раздел сайта с информацией о размерах комиссионного вознаграждения Оператора Системы за представление Сервисов, и иных условиях его взимания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Раздел «Тарифы» на сайте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www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freedompay.money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/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kz</w:t>
            </w:r>
            <w:proofErr w:type="spellEnd"/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Документация по интеграции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hyperlink r:id="rId10" w:history="1">
              <w:r w:rsidR="00A20F5E" w:rsidRPr="00A20F5E">
                <w:rPr>
                  <w:rFonts w:ascii="InterLato" w:eastAsia="Times New Roman" w:hAnsi="InterLato" w:cs="Times New Roman"/>
                  <w:color w:val="0056D3"/>
                  <w:sz w:val="24"/>
                  <w:szCs w:val="24"/>
                  <w:bdr w:val="none" w:sz="0" w:space="0" w:color="auto" w:frame="1"/>
                  <w:lang w:eastAsia="ru-RU"/>
                </w:rPr>
                <w:t>https://freedompay.money/kz</w:t>
              </w:r>
            </w:hyperlink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Обязанность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Мерчанта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перед Оператором Системы ASIAPAY. Срок предоставления документов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В течение 2 (двух) рабочих дней, по требованию Оператора Системы, </w:t>
            </w:r>
            <w:proofErr w:type="gram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предоставить документы</w:t>
            </w:r>
            <w:proofErr w:type="gram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, подтверждающие исполнение обязательств по поставке товаров/работ/услуг.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Срок расторжения Договора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Согласно требованиям Общих условий Договора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Срок хранения данных и документов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5 (пять) лет </w:t>
            </w:r>
            <w:proofErr w:type="gram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 даты расторжения</w:t>
            </w:r>
            <w:proofErr w:type="gram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Договора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Судебная инстанция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Специализированный межрайонный экономический суд города Алматы</w:t>
            </w:r>
          </w:p>
        </w:tc>
      </w:tr>
      <w:tr w:rsidR="00A20F5E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Реквизиты Оператора Системы</w:t>
            </w: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  <w:hideMark/>
          </w:tcPr>
          <w:p w:rsidR="00A20F5E" w:rsidRPr="00A20F5E" w:rsidRDefault="00A20F5E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Реквизиты Оператора «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Freedom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Pay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»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>БИН: 180640014026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 xml:space="preserve">Адрес: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г</w:t>
            </w:r>
            <w:proofErr w:type="gram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.А</w:t>
            </w:r>
            <w:proofErr w:type="gram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лматы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Алмалинский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район, 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lastRenderedPageBreak/>
              <w:t xml:space="preserve">улица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Желтоксан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115,2-этаж, кабинет №6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>ИИК: KZ30551A127100167KZT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 xml:space="preserve">в АО «Банк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Фридом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Финанс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 Казахстан»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>БИК Банка: KSNVKZKA</w:t>
            </w:r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Email</w:t>
            </w:r>
            <w:proofErr w:type="spell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info@freedompay.money</w:t>
            </w:r>
            <w:proofErr w:type="spellEnd"/>
            <w:proofErr w:type="gramStart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br/>
              <w:t>Т</w:t>
            </w:r>
            <w:proofErr w:type="gramEnd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ел. контактного лиц</w:t>
            </w:r>
            <w:bookmarkStart w:id="0" w:name="_GoBack"/>
            <w:bookmarkEnd w:id="0"/>
            <w:r w:rsidRPr="00A20F5E"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  <w:t>а:</w:t>
            </w:r>
          </w:p>
        </w:tc>
      </w:tr>
      <w:tr w:rsidR="002164D5" w:rsidRPr="00A20F5E" w:rsidTr="00A20F5E">
        <w:tc>
          <w:tcPr>
            <w:tcW w:w="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2164D5" w:rsidRPr="00A20F5E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150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2164D5" w:rsidRPr="00A20F5E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eastAsia="ru-RU"/>
              </w:rPr>
            </w:pPr>
          </w:p>
        </w:tc>
        <w:tc>
          <w:tcPr>
            <w:tcW w:w="2250" w:type="pct"/>
            <w:tcBorders>
              <w:top w:val="single" w:sz="12" w:space="0" w:color="CCCCCC"/>
              <w:left w:val="single" w:sz="12" w:space="0" w:color="CCCCCC"/>
              <w:bottom w:val="single" w:sz="12" w:space="0" w:color="CCCCCC"/>
              <w:right w:val="single" w:sz="12" w:space="0" w:color="CCCCCC"/>
            </w:tcBorders>
            <w:shd w:val="clear" w:color="auto" w:fill="FFFFFF"/>
            <w:tcMar>
              <w:top w:w="300" w:type="dxa"/>
              <w:left w:w="300" w:type="dxa"/>
              <w:bottom w:w="300" w:type="dxa"/>
              <w:right w:w="300" w:type="dxa"/>
            </w:tcMar>
          </w:tcPr>
          <w:p w:rsidR="002164D5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</w:pPr>
            <w:r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  <w:t>Реквизиты мерчанта:</w:t>
            </w:r>
          </w:p>
          <w:p w:rsidR="002164D5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</w:pPr>
            <w:r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  <w:t>ИП «Улжан»</w:t>
            </w:r>
          </w:p>
          <w:p w:rsidR="002164D5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</w:pPr>
          </w:p>
          <w:p w:rsidR="002164D5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</w:pPr>
          </w:p>
          <w:p w:rsidR="002164D5" w:rsidRPr="002164D5" w:rsidRDefault="002164D5" w:rsidP="00A20F5E">
            <w:pPr>
              <w:spacing w:after="0" w:line="240" w:lineRule="auto"/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</w:pPr>
            <w:r>
              <w:rPr>
                <w:rFonts w:ascii="InterLato" w:eastAsia="Times New Roman" w:hAnsi="InterLato" w:cs="Times New Roman"/>
                <w:color w:val="393D49"/>
                <w:sz w:val="24"/>
                <w:szCs w:val="24"/>
                <w:lang w:val="kk-KZ" w:eastAsia="ru-RU"/>
              </w:rPr>
              <w:t>МП</w:t>
            </w:r>
          </w:p>
        </w:tc>
      </w:tr>
    </w:tbl>
    <w:p w:rsidR="00C22E1C" w:rsidRDefault="00C22E1C"/>
    <w:sectPr w:rsidR="00C2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1C"/>
    <w:rsid w:val="002164D5"/>
    <w:rsid w:val="00A20F5E"/>
    <w:rsid w:val="00C2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A20F5E"/>
    <w:rPr>
      <w:b/>
      <w:bCs/>
    </w:rPr>
  </w:style>
  <w:style w:type="paragraph" w:styleId="a4">
    <w:name w:val="Normal (Web)"/>
    <w:basedOn w:val="a"/>
    <w:uiPriority w:val="99"/>
    <w:semiHidden/>
    <w:unhideWhenUsed/>
    <w:rsid w:val="00A2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20F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F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A20F5E"/>
    <w:rPr>
      <w:b/>
      <w:bCs/>
    </w:rPr>
  </w:style>
  <w:style w:type="paragraph" w:styleId="a4">
    <w:name w:val="Normal (Web)"/>
    <w:basedOn w:val="a"/>
    <w:uiPriority w:val="99"/>
    <w:semiHidden/>
    <w:unhideWhenUsed/>
    <w:rsid w:val="00A2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20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2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6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68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0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40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70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2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66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7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69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777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4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44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09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05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6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3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62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1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95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82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1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56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3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2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3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9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29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66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19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33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5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47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2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29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81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615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95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303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9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08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80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1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pay.money/k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dompay.money/k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reedompay.money/kz/ter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dompay.money/kz/terms" TargetMode="External"/><Relationship Id="rId10" Type="http://schemas.openxmlformats.org/officeDocument/2006/relationships/hyperlink" Target="https://freedompay.money/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dompay.money/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7816</Words>
  <Characters>44556</Characters>
  <Application>Microsoft Office Word</Application>
  <DocSecurity>0</DocSecurity>
  <Lines>371</Lines>
  <Paragraphs>104</Paragraphs>
  <ScaleCrop>false</ScaleCrop>
  <Company/>
  <LinksUpToDate>false</LinksUpToDate>
  <CharactersWithSpaces>52268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2023-12-06T13:07:00Z</dcterms:created>
  <dcterms:modified xsi:type="dcterms:W3CDTF">2023-12-20T15:50:00Z</dcterms:modified>
</cp:coreProperties>
</file>