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United Airlines Holdings (NASDAQ: UAL): HOLD, целевая цена $109</w:t>
      </w:r>
    </w:p>
    <w:p>
      <w:pPr>
        <w:spacing w:after="80"/>
      </w:pPr>
      <w:r>
        <w:rPr>
          <w:b w:val="0"/>
          <w:i/>
          <w:sz w:val="18"/>
        </w:rPr>
        <w:t>Дата анализа: 14.10.2026. Цена: $103,23 (закрытие 13.10.2026). Последняя отчётность: 10-Q за 2 кв. 2026 (16.07.2026). Отчёт за 3 кв. 2026 выйдет 20.10.2026 и в анализе не используется. Валюта — доллары США; финансовые данные в млн долл., если не указано иное.</w:t>
      </w:r>
    </w:p>
    <w:p>
      <w:pPr>
        <w:spacing w:after="80"/>
      </w:pPr>
      <w:r>
        <w:rPr>
          <w:b w:val="0"/>
          <w:i/>
          <w:sz w:val="18"/>
        </w:rPr>
        <w:t>Разметка: [Ф] — факт из отчётности, [Д] — допущение, [О] — оценка аналитика. Все расчёты — в UAL_model.xlsx; номера листов указаны в тексте.</w:t>
      </w:r>
    </w:p>
    <w:p>
      <w:pPr>
        <w:pStyle w:val="Heading1"/>
      </w:pPr>
      <w:r>
        <w:t>Резюме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701"/>
            <w:shd w:val="clear" w:color="auto" w:fill="D9E1F2"/>
          </w:tcPr>
          <w:p>
            <w:r/>
            <w:r>
              <w:rPr>
                <w:b/>
                <w:sz w:val="19"/>
              </w:rPr>
              <w:t>Рекомендация</w:t>
            </w:r>
          </w:p>
        </w:tc>
        <w:tc>
          <w:tcPr>
            <w:tcW w:type="dxa" w:w="1701"/>
            <w:shd w:val="clear" w:color="auto" w:fill="D9E1F2"/>
          </w:tcPr>
          <w:p>
            <w:r/>
            <w:r>
              <w:rPr>
                <w:b/>
                <w:sz w:val="19"/>
              </w:rPr>
              <w:t>Цель 12 мес.</w:t>
            </w:r>
          </w:p>
        </w:tc>
        <w:tc>
          <w:tcPr>
            <w:tcW w:type="dxa" w:w="1701"/>
            <w:shd w:val="clear" w:color="auto" w:fill="D9E1F2"/>
          </w:tcPr>
          <w:p>
            <w:r/>
            <w:r>
              <w:rPr>
                <w:b/>
                <w:sz w:val="19"/>
              </w:rPr>
              <w:t>Диапазон</w:t>
            </w:r>
          </w:p>
        </w:tc>
        <w:tc>
          <w:tcPr>
            <w:tcW w:type="dxa" w:w="1701"/>
            <w:shd w:val="clear" w:color="auto" w:fill="D9E1F2"/>
          </w:tcPr>
          <w:p>
            <w:r/>
            <w:r>
              <w:rPr>
                <w:b/>
                <w:sz w:val="19"/>
              </w:rPr>
              <w:t>Потенциал</w:t>
            </w:r>
          </w:p>
        </w:tc>
        <w:tc>
          <w:tcPr>
            <w:tcW w:type="dxa" w:w="2835"/>
            <w:shd w:val="clear" w:color="auto" w:fill="D9E1F2"/>
          </w:tcPr>
          <w:p>
            <w:r/>
            <w:r>
              <w:rPr>
                <w:b/>
                <w:sz w:val="19"/>
              </w:rPr>
              <w:t>Сценарии (25/50/25%)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HOLD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$109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$101–119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+5,6%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$35 / $101 / $200</w:t>
            </w:r>
          </w:p>
        </w:tc>
      </w:tr>
    </w:tbl>
    <w:p>
      <w:pPr>
        <w:spacing w:after="80"/>
      </w:pPr>
      <w:r>
        <w:rPr>
          <w:b w:val="0"/>
          <w:i w:val="0"/>
        </w:rPr>
      </w:r>
    </w:p>
    <w:p>
      <w:pPr>
        <w:spacing w:after="80"/>
      </w:pPr>
      <w:r>
        <w:rPr>
          <w:b/>
          <w:i w:val="0"/>
        </w:rPr>
        <w:t>Вывод держится на трёх фактах:</w:t>
      </w:r>
    </w:p>
    <w:p>
      <w:pPr>
        <w:pStyle w:val="ListBullet"/>
        <w:spacing w:after="40"/>
      </w:pPr>
      <w:r>
        <w:t>Топливный шок съедает маржу: топливо $4,19/галл. во 2К26 (+79% г/г), скорр. опер. маржа 5,4% против 11,6% год назад; спот Gulf Coast в сент.–окт. $4,34–4,39 — выше допущения UAL на 3К ($3,69). Наша EPS 2026E $6,09 против консенсуса $7,92.</w:t>
      </w:r>
    </w:p>
    <w:p>
      <w:pPr>
        <w:pStyle w:val="ListBullet"/>
        <w:spacing w:after="40"/>
      </w:pPr>
      <w:r>
        <w:t>Франшиза выдерживает шок: TRASM +12,1% во 2К26, премиум +16%, MileagePlus ~11% выручки; чистый долг/EBITDAR 2,3x, ликвидность $19,6 млрд.</w:t>
      </w:r>
    </w:p>
    <w:p>
      <w:pPr>
        <w:pStyle w:val="ListBullet"/>
        <w:spacing w:after="40"/>
      </w:pPr>
      <w:r>
        <w:t>Цена уже закладывает возврат к средней марже цикла: reverse DCF даёт маржу 2032E 8,6% при средней за цикл 8,6%; для роста нужна маржа выше истории, а цели менеджмента в 2025–2026 не выполнены.</w:t>
      </w:r>
    </w:p>
    <w:p>
      <w:pPr>
        <w:spacing w:after="80"/>
      </w:pPr>
      <w:r>
        <w:rPr>
          <w:b w:val="0"/>
          <w:i w:val="0"/>
        </w:rPr>
        <w:t>Почему не Buy: в цене $103 уже заложен возврат маржи к средней за цикл (8,6%), а для роста нужна маржа выше истории при топливе дороже $4. Почему не Sell: баланс и ликвидность выдерживают шок, выручка перекладывает топливо в тариф (TRASM +12%), а сценарий нормализации нефти (EIA: Brent $84 в 2027) даёт оптимистичную оценку около $200. По правилу рейтинга (Buy при потенциале &gt; +15%, Sell при &lt; −10%) потенциал +5,6% соответствует Hold.</w:t>
      </w:r>
    </w:p>
    <w:p>
      <w:pPr>
        <w:pStyle w:val="Heading1"/>
      </w:pPr>
      <w:r>
        <w:t>1. Бизнес и стратегия</w:t>
      </w:r>
    </w:p>
    <w:p>
      <w:pPr>
        <w:pStyle w:val="Heading2"/>
      </w:pPr>
      <w:r>
        <w:t>Модель</w:t>
      </w:r>
    </w:p>
    <w:p>
      <w:pPr>
        <w:spacing w:after="80"/>
      </w:pPr>
      <w:r>
        <w:rPr>
          <w:b w:val="0"/>
          <w:i w:val="0"/>
        </w:rPr>
        <w:t>[Ф] United — крупнейшая авиакомпания мира по ASM: 330 284 млн ASM в 2025, 1 552 самолётов на 30.06.2026 (1 122 магистральных и 430 региональных), 117,5 тыс. сотрудников. Хабы — Chicago O'Hare, Denver, Houston, Los Angeles, Newark, San Francisco, Washington-Dulles и Guam (10-K 2025). United входит в Star Alliance и в совместные предприятия с Air Canada и Lufthansa Group (Атлантика), ANA (Тихий океан) и Air New Zealand. Международные перевозки — 45% ASM во 2К26 (38 949 из 87 279 млн): Атлантика 18 579, Тихий океан 11 487, Латинская Америка 8 883 млн ASM (8-K 15.07.2026).</w:t>
      </w:r>
    </w:p>
    <w:p>
      <w:pPr>
        <w:spacing w:after="80"/>
      </w:pPr>
      <w:r>
        <w:rPr>
          <w:b w:val="0"/>
          <w:i w:val="0"/>
        </w:rPr>
        <w:t>[Ф, вторичный источник] Доля United в пассажиропотоке хабов (BTS за 2024, по данным Simple Flying): Newark 58%, San Francisco 44%, Houston 39%, Denver 38%, Chicago 30%. Washington-Dulles — не найдено. Доминирование в Newark и SFO — главный актив, но в Chicago и Denver United делит хаб с American и Southwest, там преимущество слабее. Слоты: Newark, JFK, LGA и DCA регулируются, плюс в 2025–2026 действует ограничение FAA на O'Hare (Investor Update 15.07.2026).</w:t>
      </w:r>
    </w:p>
    <w:p>
      <w:r>
        <w:drawing>
          <wp:inline xmlns:a="http://schemas.openxmlformats.org/drawingml/2006/main" xmlns:pic="http://schemas.openxmlformats.org/drawingml/2006/picture">
            <wp:extent cx="5580000" cy="2929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x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29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b w:val="0"/>
          <w:i/>
          <w:color w:val="52514E"/>
          <w:sz w:val="16"/>
        </w:rPr>
        <w:t>Источник: 10-K и 8-K UAL; лист Hist / Metrics.</w:t>
      </w:r>
    </w:p>
    <w:p>
      <w:pPr>
        <w:pStyle w:val="Heading2"/>
      </w:pPr>
      <w:r>
        <w:t>MileagePlus и Chase</w:t>
      </w:r>
    </w:p>
    <w:p>
      <w:pPr>
        <w:spacing w:after="80"/>
      </w:pPr>
      <w:r>
        <w:rPr>
          <w:b w:val="0"/>
          <w:i w:val="0"/>
        </w:rPr>
        <w:t>[Ф] В 2025 United признал в прочей выручке $3,2 млрд от партнёров MileagePlus (маркетинг, реклама, неавиационные погашения), против $2,9 млрд в 2024 и $2,7 млрд в 2023. Ещё $3,4 млрд погашений миль на перелёты учтены в пассажирской выручке, начислено миль на $3,9 млрд (10-K 2025, прим. 2). [О] В сумме MileagePlus — около $6,6 млрд, или 11,2% выручки. Это нижняя оценка: прибыль программы не раскрывается — не найдено. Ключевой партнёр — JPMorgan Chase, договор продлён в 2020 году до 2029 (вторичный источник: The Points Guy). Выручка лояльности выросла на 9% в 2025 и на 11% во 2К26.</w:t>
      </w:r>
    </w:p>
    <w:p>
      <w:pPr>
        <w:spacing w:after="80"/>
      </w:pPr>
      <w:r>
        <w:rPr>
          <w:b w:val="0"/>
          <w:i w:val="0"/>
        </w:rPr>
        <w:t>Почему выручка устойчивее: Chase платит за мили при тратах по картам, то есть по потребительским расходам, а не по проданным креслам. Деньги приходят вперёд, а выручка признаётся позже — отложенная выручка MileagePlus составляет $7,8 млрд. Проверка на стресс: в 2020 пассажирская выручка упала на 70%, а прочая — только на 23% ($2 455 → $1 902 млн, лист Hist). Риск — регулирование межбанковских комиссий по картам (10-K, Risk Factors).</w:t>
      </w:r>
    </w:p>
    <w:p>
      <w:pPr>
        <w:pStyle w:val="Heading2"/>
      </w:pPr>
      <w:r>
        <w:t>Стратегия и выполнение целей</w:t>
      </w:r>
    </w:p>
    <w:p>
      <w:pPr>
        <w:spacing w:after="80"/>
      </w:pPr>
      <w:r>
        <w:rPr>
          <w:b w:val="0"/>
          <w:i w:val="0"/>
        </w:rPr>
        <w:t>United Next — это премиальные кабины (Polaris, Polaris Studio, Premium Plus), более 630 новых самолётов до 2034, рост на дальних маршрутах (A321XLR в Европу и Южную Америку с начала 2027) и цифровые продукты (Starlink бесплатно для участников MileagePlus: 450 бортов на июль 2026, весь парк — к концу 2027; медиасеть Kinective). [Ф] Во 2К26 премиальная выручка выросла на 16%, корпоративная — на 27%, Basic Economy — на 11% (8-K 15.07.2026). Долю премиума в выручке UAL не раскрывает — не найдено.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948"/>
            <w:shd w:val="clear" w:color="auto" w:fill="D9E1F2"/>
          </w:tcPr>
          <w:p>
            <w:r/>
            <w:r>
              <w:rPr>
                <w:b/>
                <w:sz w:val="17"/>
              </w:rPr>
              <w:t>Цель / прогноз менеджмента</w:t>
            </w:r>
          </w:p>
        </w:tc>
        <w:tc>
          <w:tcPr>
            <w:tcW w:type="dxa" w:w="1474"/>
            <w:shd w:val="clear" w:color="auto" w:fill="D9E1F2"/>
          </w:tcPr>
          <w:p>
            <w:r/>
            <w:r>
              <w:rPr>
                <w:b/>
                <w:sz w:val="17"/>
              </w:rPr>
              <w:t>План</w:t>
            </w:r>
          </w:p>
        </w:tc>
        <w:tc>
          <w:tcPr>
            <w:tcW w:type="dxa" w:w="1701"/>
            <w:shd w:val="clear" w:color="auto" w:fill="D9E1F2"/>
          </w:tcPr>
          <w:p>
            <w:r/>
            <w:r>
              <w:rPr>
                <w:b/>
                <w:sz w:val="17"/>
              </w:rPr>
              <w:t>Факт</w:t>
            </w:r>
          </w:p>
        </w:tc>
        <w:tc>
          <w:tcPr>
            <w:tcW w:type="dxa" w:w="2948"/>
            <w:shd w:val="clear" w:color="auto" w:fill="D9E1F2"/>
          </w:tcPr>
          <w:p>
            <w:r/>
            <w:r>
              <w:rPr>
                <w:b/>
                <w:sz w:val="17"/>
              </w:rPr>
              <w:t>Статус</w:t>
            </w:r>
          </w:p>
        </w:tc>
      </w:tr>
      <w:tr>
        <w:tc>
          <w:tcPr>
            <w:tcW w:type="dxa" w:w="2948"/>
          </w:tcPr>
          <w:p>
            <w:r/>
            <w:r>
              <w:rPr>
                <w:b w:val="0"/>
                <w:sz w:val="17"/>
              </w:rPr>
              <w:t>Скорр. EPS 2023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$10–12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7"/>
              </w:rPr>
              <w:t>$10,05</w:t>
            </w:r>
          </w:p>
        </w:tc>
        <w:tc>
          <w:tcPr>
            <w:tcW w:type="dxa" w:w="2948"/>
          </w:tcPr>
          <w:p>
            <w:r/>
            <w:r>
              <w:rPr>
                <w:b w:val="0"/>
                <w:sz w:val="17"/>
              </w:rPr>
              <w:t>Выполнено (нижняя граница)</w:t>
            </w:r>
          </w:p>
        </w:tc>
      </w:tr>
      <w:tr>
        <w:tc>
          <w:tcPr>
            <w:tcW w:type="dxa" w:w="2948"/>
          </w:tcPr>
          <w:p>
            <w:r/>
            <w:r>
              <w:rPr>
                <w:b w:val="0"/>
                <w:sz w:val="17"/>
              </w:rPr>
              <w:t>Скорр. EPS 2024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$9–11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7"/>
              </w:rPr>
              <w:t>$10,61</w:t>
            </w:r>
          </w:p>
        </w:tc>
        <w:tc>
          <w:tcPr>
            <w:tcW w:type="dxa" w:w="2948"/>
          </w:tcPr>
          <w:p>
            <w:r/>
            <w:r>
              <w:rPr>
                <w:b w:val="0"/>
                <w:sz w:val="17"/>
              </w:rPr>
              <w:t>Выполнено</w:t>
            </w:r>
          </w:p>
        </w:tc>
      </w:tr>
      <w:tr>
        <w:tc>
          <w:tcPr>
            <w:tcW w:type="dxa" w:w="2948"/>
          </w:tcPr>
          <w:p>
            <w:r/>
            <w:r>
              <w:rPr>
                <w:b w:val="0"/>
                <w:sz w:val="17"/>
              </w:rPr>
              <w:t>Скорр. EPS 2025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$11,50–13,50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7"/>
              </w:rPr>
              <w:t>$10,62</w:t>
            </w:r>
          </w:p>
        </w:tc>
        <w:tc>
          <w:tcPr>
            <w:tcW w:type="dxa" w:w="2948"/>
          </w:tcPr>
          <w:p>
            <w:r/>
            <w:r>
              <w:rPr>
                <w:b w:val="0"/>
                <w:sz w:val="17"/>
              </w:rPr>
              <w:t>Не выполнено</w:t>
            </w:r>
          </w:p>
        </w:tc>
      </w:tr>
      <w:tr>
        <w:tc>
          <w:tcPr>
            <w:tcW w:type="dxa" w:w="2948"/>
          </w:tcPr>
          <w:p>
            <w:r/>
            <w:r>
              <w:rPr>
                <w:b w:val="0"/>
                <w:sz w:val="17"/>
              </w:rPr>
              <w:t>«Двузначная» маржа до налога (янв. 2025)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≥10%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7"/>
              </w:rPr>
              <w:t>7,8% (2025)</w:t>
            </w:r>
          </w:p>
        </w:tc>
        <w:tc>
          <w:tcPr>
            <w:tcW w:type="dxa" w:w="2948"/>
          </w:tcPr>
          <w:p>
            <w:r/>
            <w:r>
              <w:rPr>
                <w:b w:val="0"/>
                <w:sz w:val="17"/>
              </w:rPr>
              <w:t>Не выполнено; цель перенесена на 2027</w:t>
            </w:r>
          </w:p>
        </w:tc>
      </w:tr>
      <w:tr>
        <w:tc>
          <w:tcPr>
            <w:tcW w:type="dxa" w:w="2948"/>
          </w:tcPr>
          <w:p>
            <w:r/>
            <w:r>
              <w:rPr>
                <w:b w:val="0"/>
                <w:sz w:val="17"/>
              </w:rPr>
              <w:t>Скорр. EPS 2026 (янв. → апр. → июль)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$12–14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7"/>
              </w:rPr>
              <w:t>$7–11 → $9–11</w:t>
            </w:r>
          </w:p>
        </w:tc>
        <w:tc>
          <w:tcPr>
            <w:tcW w:type="dxa" w:w="2948"/>
          </w:tcPr>
          <w:p>
            <w:r/>
            <w:r>
              <w:rPr>
                <w:b w:val="0"/>
                <w:sz w:val="17"/>
              </w:rPr>
              <w:t>Снижен из-за топлива; консенсус $7,92</w:t>
            </w:r>
          </w:p>
        </w:tc>
      </w:tr>
      <w:tr>
        <w:tc>
          <w:tcPr>
            <w:tcW w:type="dxa" w:w="2948"/>
          </w:tcPr>
          <w:p>
            <w:r/>
            <w:r>
              <w:rPr>
                <w:b w:val="0"/>
                <w:sz w:val="17"/>
              </w:rPr>
              <w:t>Капзатраты 2025 / 2026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&lt;$7 / &lt;$8 млрд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7"/>
              </w:rPr>
              <w:t>$6,3 / ~$7,5 млрд</w:t>
            </w:r>
          </w:p>
        </w:tc>
        <w:tc>
          <w:tcPr>
            <w:tcW w:type="dxa" w:w="2948"/>
          </w:tcPr>
          <w:p>
            <w:r/>
            <w:r>
              <w:rPr>
                <w:b w:val="0"/>
                <w:sz w:val="17"/>
              </w:rPr>
              <w:t>Выполняется (помогают задержки Boeing)</w:t>
            </w:r>
          </w:p>
        </w:tc>
      </w:tr>
      <w:tr>
        <w:tc>
          <w:tcPr>
            <w:tcW w:type="dxa" w:w="2948"/>
          </w:tcPr>
          <w:p>
            <w:r/>
            <w:r>
              <w:rPr>
                <w:b w:val="0"/>
                <w:sz w:val="17"/>
              </w:rPr>
              <w:t>Инвестиционный рейтинг в 2026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IG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7"/>
              </w:rPr>
              <w:t>BB+ / Ba1 / BB+</w:t>
            </w:r>
          </w:p>
        </w:tc>
        <w:tc>
          <w:tcPr>
            <w:tcW w:type="dxa" w:w="2948"/>
          </w:tcPr>
          <w:p>
            <w:r/>
            <w:r>
              <w:rPr>
                <w:b w:val="0"/>
                <w:sz w:val="17"/>
              </w:rPr>
              <w:t>В процессе (S&amp;P — позитивный прогноз)</w:t>
            </w:r>
          </w:p>
        </w:tc>
      </w:tr>
    </w:tbl>
    <w:p>
      <w:pPr>
        <w:spacing w:after="80"/>
      </w:pPr>
      <w:r>
        <w:rPr>
          <w:b w:val="0"/>
          <w:i/>
          <w:color w:val="52514E"/>
          <w:sz w:val="16"/>
        </w:rPr>
        <w:t>Источник: Investor Updates UAL (8-K 21.01.2025, 20.01.2026, 21.04.2026, 15.07.2026); пресс-релизы по итогам 4 кв.; 10-Q 2К26.</w:t>
      </w:r>
    </w:p>
    <w:p>
      <w:pPr>
        <w:spacing w:after="80"/>
      </w:pPr>
      <w:r>
        <w:rPr>
          <w:b w:val="0"/>
          <w:i w:val="0"/>
        </w:rPr>
        <w:t>Вывод: прогнозы капзатрат выполняются, а прибыльные цели в 2025–2026 — нет. Отчасти это внешние шоки (тарифы и спрос в 2025, нефть в 2026), но цель по двузначной марже переносится уже второй год. Поэтому прогнозам менеджмента мы доверяем с дисконтом и в базовом сценарии не закладываем маржу ≥10% в 2027.</w:t>
      </w:r>
    </w:p>
    <w:p>
      <w:pPr>
        <w:pStyle w:val="Heading2"/>
      </w:pPr>
      <w:r>
        <w:t>Конкурентные преимущества — доказательства и слабые места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2494"/>
            <w:shd w:val="clear" w:color="auto" w:fill="D9E1F2"/>
          </w:tcPr>
          <w:p>
            <w:r/>
            <w:r>
              <w:rPr>
                <w:b/>
                <w:sz w:val="17"/>
              </w:rPr>
              <w:t>Показатель (2 кв. 2026)</w:t>
            </w:r>
          </w:p>
        </w:tc>
        <w:tc>
          <w:tcPr>
            <w:tcW w:type="dxa" w:w="1701"/>
            <w:shd w:val="clear" w:color="auto" w:fill="D9E1F2"/>
          </w:tcPr>
          <w:p>
            <w:r/>
            <w:r>
              <w:rPr>
                <w:b/>
                <w:sz w:val="17"/>
              </w:rPr>
              <w:t>UAL</w:t>
            </w:r>
          </w:p>
        </w:tc>
        <w:tc>
          <w:tcPr>
            <w:tcW w:type="dxa" w:w="1701"/>
            <w:shd w:val="clear" w:color="auto" w:fill="D9E1F2"/>
          </w:tcPr>
          <w:p>
            <w:r/>
            <w:r>
              <w:rPr>
                <w:b/>
                <w:sz w:val="17"/>
              </w:rPr>
              <w:t>DAL</w:t>
            </w:r>
          </w:p>
        </w:tc>
        <w:tc>
          <w:tcPr>
            <w:tcW w:type="dxa" w:w="1701"/>
            <w:shd w:val="clear" w:color="auto" w:fill="D9E1F2"/>
          </w:tcPr>
          <w:p>
            <w:r/>
            <w:r>
              <w:rPr>
                <w:b/>
                <w:sz w:val="17"/>
              </w:rPr>
              <w:t>AAL</w:t>
            </w:r>
          </w:p>
        </w:tc>
        <w:tc>
          <w:tcPr>
            <w:tcW w:type="dxa" w:w="1701"/>
            <w:shd w:val="clear" w:color="auto" w:fill="D9E1F2"/>
          </w:tcPr>
          <w:p>
            <w:r/>
            <w:r>
              <w:rPr>
                <w:b/>
                <w:sz w:val="17"/>
              </w:rPr>
              <w:t>LUV</w:t>
            </w:r>
          </w:p>
        </w:tc>
      </w:tr>
      <w:tr>
        <w:tc>
          <w:tcPr>
            <w:tcW w:type="dxa" w:w="2494"/>
          </w:tcPr>
          <w:p>
            <w:r/>
            <w:r>
              <w:rPr>
                <w:b w:val="0"/>
                <w:sz w:val="17"/>
              </w:rPr>
              <w:t>TRASM, центы (г/г)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7"/>
              </w:rPr>
              <w:t>20,25 (+12,1%)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7"/>
              </w:rPr>
              <w:t>22,45* (+12,4%)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7"/>
              </w:rPr>
              <w:t>20,45 (+10,3%)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7"/>
              </w:rPr>
              <w:t>17,91 (+16,2%)</w:t>
            </w:r>
          </w:p>
        </w:tc>
      </w:tr>
      <w:tr>
        <w:tc>
          <w:tcPr>
            <w:tcW w:type="dxa" w:w="2494"/>
          </w:tcPr>
          <w:p>
            <w:r/>
            <w:r>
              <w:rPr>
                <w:b w:val="0"/>
                <w:sz w:val="17"/>
              </w:rPr>
              <w:t>CASM-ex, центы (г/г)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7"/>
              </w:rPr>
              <w:t>13,12 (+6,1%)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7"/>
              </w:rPr>
              <w:t>14,09 (+6,8%)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7"/>
              </w:rPr>
              <w:t>13,93 (+2,9%)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7"/>
              </w:rPr>
              <w:t>12,45 (+3,4%)</w:t>
            </w:r>
          </w:p>
        </w:tc>
      </w:tr>
      <w:tr>
        <w:tc>
          <w:tcPr>
            <w:tcW w:type="dxa" w:w="2494"/>
          </w:tcPr>
          <w:p>
            <w:r/>
            <w:r>
              <w:rPr>
                <w:b w:val="0"/>
                <w:sz w:val="17"/>
              </w:rPr>
              <w:t>Топливо, $/галлон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7"/>
              </w:rPr>
              <w:t>4,19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7"/>
              </w:rPr>
              <w:t>3,93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7"/>
              </w:rPr>
              <w:t>4,05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7"/>
              </w:rPr>
              <w:t>3,92</w:t>
            </w:r>
          </w:p>
        </w:tc>
      </w:tr>
      <w:tr>
        <w:tc>
          <w:tcPr>
            <w:tcW w:type="dxa" w:w="2494"/>
          </w:tcPr>
          <w:p>
            <w:r/>
            <w:r>
              <w:rPr>
                <w:b w:val="0"/>
                <w:sz w:val="17"/>
              </w:rPr>
              <w:t>Скорр. опер. маржа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7"/>
              </w:rPr>
              <w:t>5,4%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7"/>
              </w:rPr>
              <w:t>8,8%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7"/>
              </w:rPr>
              <w:t>2,7%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7"/>
              </w:rPr>
              <w:t>6,7%</w:t>
            </w:r>
          </w:p>
        </w:tc>
      </w:tr>
      <w:tr>
        <w:tc>
          <w:tcPr>
            <w:tcW w:type="dxa" w:w="2494"/>
          </w:tcPr>
          <w:p>
            <w:r/>
            <w:r>
              <w:rPr>
                <w:b w:val="0"/>
                <w:sz w:val="17"/>
              </w:rPr>
              <w:t>Рост ASM г/г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7"/>
              </w:rPr>
              <w:t>+3,5%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7"/>
              </w:rPr>
              <w:t>~+1%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7"/>
              </w:rPr>
              <w:t>+5,4%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7"/>
              </w:rPr>
              <w:t>+0,2%</w:t>
            </w:r>
          </w:p>
        </w:tc>
      </w:tr>
      <w:tr>
        <w:tc>
          <w:tcPr>
            <w:tcW w:type="dxa" w:w="2494"/>
          </w:tcPr>
          <w:p>
            <w:r/>
            <w:r>
              <w:rPr>
                <w:b w:val="0"/>
                <w:sz w:val="17"/>
              </w:rPr>
              <w:t>Загрузка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7"/>
              </w:rPr>
              <w:t>83,4%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7"/>
              </w:rPr>
              <w:t>н/д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7"/>
              </w:rPr>
              <w:t>83,2%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7"/>
              </w:rPr>
              <w:t>79,3%</w:t>
            </w:r>
          </w:p>
        </w:tc>
      </w:tr>
    </w:tbl>
    <w:p>
      <w:pPr>
        <w:spacing w:after="80"/>
      </w:pPr>
      <w:r>
        <w:rPr>
          <w:b w:val="0"/>
          <w:i/>
          <w:color w:val="52514E"/>
          <w:sz w:val="16"/>
        </w:rPr>
        <w:t>Источник: 8-K за 2 кв. 2026: UAL 15.07, DAL 10.07, AAL 23.07, LUV 22.07.2026. *DAL — скорр. TRASM без выручки НПЗ. LUV — RASM, короткие рейсы: несопоставим по удельным показателям.</w:t>
      </w:r>
    </w:p>
    <w:p>
      <w:pPr>
        <w:spacing w:after="80"/>
      </w:pPr>
      <w:r>
        <w:rPr>
          <w:b w:val="0"/>
          <w:i w:val="0"/>
        </w:rPr>
        <w:t>Сильные стороны: самая большая международная сеть среди американских перевозчиков, доминирование в Newark и SFO, рост RASM на уровне Delta (+12% во 2К26), лояльность и груз как стабилизаторы. Слабые: маржа ниже Delta (5,4% против 8,8%) из-за более дорогого топлива (у Delta свой НПЗ) и роста CASM-ex на 6%; пунктуальность за 2025 по данным DOT не найдена, а по рейтингу PIRG United не входит в тройку лучших.</w:t>
      </w:r>
    </w:p>
    <w:p>
      <w:pPr>
        <w:pStyle w:val="Heading1"/>
      </w:pPr>
      <w:r>
        <w:t>2. Операционные и финансовые показатели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2041"/>
            <w:shd w:val="clear" w:color="auto" w:fill="D9E1F2"/>
          </w:tcPr>
          <w:p>
            <w:r/>
            <w:r>
              <w:rPr>
                <w:b/>
                <w:sz w:val="16"/>
              </w:rPr>
              <w:t>Показатель</w:t>
            </w:r>
          </w:p>
        </w:tc>
        <w:tc>
          <w:tcPr>
            <w:tcW w:type="dxa" w:w="1077"/>
            <w:shd w:val="clear" w:color="auto" w:fill="D9E1F2"/>
          </w:tcPr>
          <w:p>
            <w:r/>
            <w:r>
              <w:rPr>
                <w:b/>
                <w:sz w:val="16"/>
              </w:rPr>
              <w:t>2019</w:t>
            </w:r>
          </w:p>
        </w:tc>
        <w:tc>
          <w:tcPr>
            <w:tcW w:type="dxa" w:w="1077"/>
            <w:shd w:val="clear" w:color="auto" w:fill="D9E1F2"/>
          </w:tcPr>
          <w:p>
            <w:r/>
            <w:r>
              <w:rPr>
                <w:b/>
                <w:sz w:val="16"/>
              </w:rPr>
              <w:t>2022</w:t>
            </w:r>
          </w:p>
        </w:tc>
        <w:tc>
          <w:tcPr>
            <w:tcW w:type="dxa" w:w="1077"/>
            <w:shd w:val="clear" w:color="auto" w:fill="D9E1F2"/>
          </w:tcPr>
          <w:p>
            <w:r/>
            <w:r>
              <w:rPr>
                <w:b/>
                <w:sz w:val="16"/>
              </w:rPr>
              <w:t>2023</w:t>
            </w:r>
          </w:p>
        </w:tc>
        <w:tc>
          <w:tcPr>
            <w:tcW w:type="dxa" w:w="1077"/>
            <w:shd w:val="clear" w:color="auto" w:fill="D9E1F2"/>
          </w:tcPr>
          <w:p>
            <w:r/>
            <w:r>
              <w:rPr>
                <w:b/>
                <w:sz w:val="16"/>
              </w:rPr>
              <w:t>2024</w:t>
            </w:r>
          </w:p>
        </w:tc>
        <w:tc>
          <w:tcPr>
            <w:tcW w:type="dxa" w:w="1077"/>
            <w:shd w:val="clear" w:color="auto" w:fill="D9E1F2"/>
          </w:tcPr>
          <w:p>
            <w:r/>
            <w:r>
              <w:rPr>
                <w:b/>
                <w:sz w:val="16"/>
              </w:rPr>
              <w:t>2025</w:t>
            </w:r>
          </w:p>
        </w:tc>
        <w:tc>
          <w:tcPr>
            <w:tcW w:type="dxa" w:w="1077"/>
            <w:shd w:val="clear" w:color="auto" w:fill="D9E1F2"/>
          </w:tcPr>
          <w:p>
            <w:r/>
            <w:r>
              <w:rPr>
                <w:b/>
                <w:sz w:val="16"/>
              </w:rPr>
              <w:t>1П26</w:t>
            </w:r>
          </w:p>
        </w:tc>
        <w:tc>
          <w:tcPr>
            <w:tcW w:type="dxa" w:w="1077"/>
            <w:shd w:val="clear" w:color="auto" w:fill="D9E1F2"/>
          </w:tcPr>
          <w:p>
            <w:r/>
            <w:r>
              <w:rPr>
                <w:b/>
                <w:sz w:val="16"/>
              </w:rPr>
              <w:t>TTM 2К26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 w:val="0"/>
                <w:sz w:val="16"/>
              </w:rPr>
              <w:t>ASM, млрд</w:t>
            </w:r>
          </w:p>
        </w:tc>
        <w:tc>
          <w:tcPr>
            <w:tcW w:type="dxa" w:w="1077"/>
          </w:tcPr>
          <w:p>
            <w:r/>
            <w:r>
              <w:rPr>
                <w:b w:val="0"/>
                <w:sz w:val="16"/>
              </w:rPr>
              <w:t>285,0</w:t>
            </w:r>
          </w:p>
        </w:tc>
        <w:tc>
          <w:tcPr>
            <w:tcW w:type="dxa" w:w="1077"/>
          </w:tcPr>
          <w:p>
            <w:r/>
            <w:r>
              <w:rPr>
                <w:b w:val="0"/>
                <w:sz w:val="16"/>
              </w:rPr>
              <w:t>247,9</w:t>
            </w:r>
          </w:p>
        </w:tc>
        <w:tc>
          <w:tcPr>
            <w:tcW w:type="dxa" w:w="1077"/>
          </w:tcPr>
          <w:p>
            <w:r/>
            <w:r>
              <w:rPr>
                <w:b w:val="0"/>
                <w:sz w:val="16"/>
              </w:rPr>
              <w:t>291,3</w:t>
            </w:r>
          </w:p>
        </w:tc>
        <w:tc>
          <w:tcPr>
            <w:tcW w:type="dxa" w:w="1077"/>
          </w:tcPr>
          <w:p>
            <w:r/>
            <w:r>
              <w:rPr>
                <w:b w:val="0"/>
                <w:sz w:val="16"/>
              </w:rPr>
              <w:t>311,2</w:t>
            </w:r>
          </w:p>
        </w:tc>
        <w:tc>
          <w:tcPr>
            <w:tcW w:type="dxa" w:w="1077"/>
          </w:tcPr>
          <w:p>
            <w:r/>
            <w:r>
              <w:rPr>
                <w:b w:val="0"/>
                <w:sz w:val="16"/>
              </w:rPr>
              <w:t>330,3</w:t>
            </w:r>
          </w:p>
        </w:tc>
        <w:tc>
          <w:tcPr>
            <w:tcW w:type="dxa" w:w="1077"/>
          </w:tcPr>
          <w:p>
            <w:r/>
            <w:r>
              <w:rPr>
                <w:b w:val="0"/>
                <w:sz w:val="16"/>
              </w:rPr>
              <w:t>165,0</w:t>
            </w:r>
          </w:p>
        </w:tc>
        <w:tc>
          <w:tcPr>
            <w:tcW w:type="dxa" w:w="1077"/>
          </w:tcPr>
          <w:p>
            <w:r/>
            <w:r>
              <w:rPr>
                <w:b w:val="0"/>
                <w:sz w:val="16"/>
              </w:rPr>
              <w:t>335,8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 w:val="0"/>
                <w:sz w:val="16"/>
              </w:rPr>
              <w:t>RPM, млрд</w:t>
            </w:r>
          </w:p>
        </w:tc>
        <w:tc>
          <w:tcPr>
            <w:tcW w:type="dxa" w:w="1077"/>
          </w:tcPr>
          <w:p>
            <w:r/>
            <w:r>
              <w:rPr>
                <w:b w:val="0"/>
                <w:sz w:val="16"/>
              </w:rPr>
              <w:t>239,4</w:t>
            </w:r>
          </w:p>
        </w:tc>
        <w:tc>
          <w:tcPr>
            <w:tcW w:type="dxa" w:w="1077"/>
          </w:tcPr>
          <w:p>
            <w:r/>
            <w:r>
              <w:rPr>
                <w:b w:val="0"/>
                <w:sz w:val="16"/>
              </w:rPr>
              <w:t>206,8</w:t>
            </w:r>
          </w:p>
        </w:tc>
        <w:tc>
          <w:tcPr>
            <w:tcW w:type="dxa" w:w="1077"/>
          </w:tcPr>
          <w:p>
            <w:r/>
            <w:r>
              <w:rPr>
                <w:b w:val="0"/>
                <w:sz w:val="16"/>
              </w:rPr>
              <w:t>244,4</w:t>
            </w:r>
          </w:p>
        </w:tc>
        <w:tc>
          <w:tcPr>
            <w:tcW w:type="dxa" w:w="1077"/>
          </w:tcPr>
          <w:p>
            <w:r/>
            <w:r>
              <w:rPr>
                <w:b w:val="0"/>
                <w:sz w:val="16"/>
              </w:rPr>
              <w:t>258,5</w:t>
            </w:r>
          </w:p>
        </w:tc>
        <w:tc>
          <w:tcPr>
            <w:tcW w:type="dxa" w:w="1077"/>
          </w:tcPr>
          <w:p>
            <w:r/>
            <w:r>
              <w:rPr>
                <w:b w:val="0"/>
                <w:sz w:val="16"/>
              </w:rPr>
              <w:t>271,6</w:t>
            </w:r>
          </w:p>
        </w:tc>
        <w:tc>
          <w:tcPr>
            <w:tcW w:type="dxa" w:w="1077"/>
          </w:tcPr>
          <w:p>
            <w:r/>
            <w:r>
              <w:rPr>
                <w:b w:val="0"/>
                <w:sz w:val="16"/>
              </w:rPr>
              <w:t>136,2</w:t>
            </w:r>
          </w:p>
        </w:tc>
        <w:tc>
          <w:tcPr>
            <w:tcW w:type="dxa" w:w="1077"/>
          </w:tcPr>
          <w:p>
            <w:r/>
            <w:r>
              <w:rPr>
                <w:b w:val="0"/>
                <w:sz w:val="16"/>
              </w:rPr>
              <w:t>278,2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 w:val="0"/>
                <w:sz w:val="16"/>
              </w:rPr>
              <w:t>Загрузка</w:t>
            </w:r>
          </w:p>
        </w:tc>
        <w:tc>
          <w:tcPr>
            <w:tcW w:type="dxa" w:w="1077"/>
          </w:tcPr>
          <w:p>
            <w:r/>
            <w:r>
              <w:rPr>
                <w:b w:val="0"/>
                <w:sz w:val="16"/>
              </w:rPr>
              <w:t>84,0%</w:t>
            </w:r>
          </w:p>
        </w:tc>
        <w:tc>
          <w:tcPr>
            <w:tcW w:type="dxa" w:w="1077"/>
          </w:tcPr>
          <w:p>
            <w:r/>
            <w:r>
              <w:rPr>
                <w:b w:val="0"/>
                <w:sz w:val="16"/>
              </w:rPr>
              <w:t>83,4%</w:t>
            </w:r>
          </w:p>
        </w:tc>
        <w:tc>
          <w:tcPr>
            <w:tcW w:type="dxa" w:w="1077"/>
          </w:tcPr>
          <w:p>
            <w:r/>
            <w:r>
              <w:rPr>
                <w:b w:val="0"/>
                <w:sz w:val="16"/>
              </w:rPr>
              <w:t>83,9%</w:t>
            </w:r>
          </w:p>
        </w:tc>
        <w:tc>
          <w:tcPr>
            <w:tcW w:type="dxa" w:w="1077"/>
          </w:tcPr>
          <w:p>
            <w:r/>
            <w:r>
              <w:rPr>
                <w:b w:val="0"/>
                <w:sz w:val="16"/>
              </w:rPr>
              <w:t>83,1%</w:t>
            </w:r>
          </w:p>
        </w:tc>
        <w:tc>
          <w:tcPr>
            <w:tcW w:type="dxa" w:w="1077"/>
          </w:tcPr>
          <w:p>
            <w:r/>
            <w:r>
              <w:rPr>
                <w:b w:val="0"/>
                <w:sz w:val="16"/>
              </w:rPr>
              <w:t>82,2%</w:t>
            </w:r>
          </w:p>
        </w:tc>
        <w:tc>
          <w:tcPr>
            <w:tcW w:type="dxa" w:w="1077"/>
          </w:tcPr>
          <w:p>
            <w:r/>
            <w:r>
              <w:rPr>
                <w:b w:val="0"/>
                <w:sz w:val="16"/>
              </w:rPr>
              <w:t>82,5%</w:t>
            </w:r>
          </w:p>
        </w:tc>
        <w:tc>
          <w:tcPr>
            <w:tcW w:type="dxa" w:w="1077"/>
          </w:tcPr>
          <w:p>
            <w:r/>
            <w:r>
              <w:rPr>
                <w:b w:val="0"/>
                <w:sz w:val="16"/>
              </w:rPr>
              <w:t>82,8%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 w:val="0"/>
                <w:sz w:val="16"/>
              </w:rPr>
              <w:t>Yield, центы</w:t>
            </w:r>
          </w:p>
        </w:tc>
        <w:tc>
          <w:tcPr>
            <w:tcW w:type="dxa" w:w="1077"/>
          </w:tcPr>
          <w:p>
            <w:r/>
            <w:r>
              <w:rPr>
                <w:b w:val="0"/>
                <w:sz w:val="16"/>
              </w:rPr>
              <w:t>16,55</w:t>
            </w:r>
          </w:p>
        </w:tc>
        <w:tc>
          <w:tcPr>
            <w:tcW w:type="dxa" w:w="1077"/>
          </w:tcPr>
          <w:p>
            <w:r/>
            <w:r>
              <w:rPr>
                <w:b w:val="0"/>
                <w:sz w:val="16"/>
              </w:rPr>
              <w:t>19,36</w:t>
            </w:r>
          </w:p>
        </w:tc>
        <w:tc>
          <w:tcPr>
            <w:tcW w:type="dxa" w:w="1077"/>
          </w:tcPr>
          <w:p>
            <w:r/>
            <w:r>
              <w:rPr>
                <w:b w:val="0"/>
                <w:sz w:val="16"/>
              </w:rPr>
              <w:t>20,07</w:t>
            </w:r>
          </w:p>
        </w:tc>
        <w:tc>
          <w:tcPr>
            <w:tcW w:type="dxa" w:w="1077"/>
          </w:tcPr>
          <w:p>
            <w:r/>
            <w:r>
              <w:rPr>
                <w:b w:val="0"/>
                <w:sz w:val="16"/>
              </w:rPr>
              <w:t>20,05</w:t>
            </w:r>
          </w:p>
        </w:tc>
        <w:tc>
          <w:tcPr>
            <w:tcW w:type="dxa" w:w="1077"/>
          </w:tcPr>
          <w:p>
            <w:r/>
            <w:r>
              <w:rPr>
                <w:b w:val="0"/>
                <w:sz w:val="16"/>
              </w:rPr>
              <w:t>19,67</w:t>
            </w:r>
          </w:p>
        </w:tc>
        <w:tc>
          <w:tcPr>
            <w:tcW w:type="dxa" w:w="1077"/>
          </w:tcPr>
          <w:p>
            <w:r/>
            <w:r>
              <w:rPr>
                <w:b w:val="0"/>
                <w:sz w:val="16"/>
              </w:rPr>
              <w:t>21,50</w:t>
            </w:r>
          </w:p>
        </w:tc>
        <w:tc>
          <w:tcPr>
            <w:tcW w:type="dxa" w:w="1077"/>
          </w:tcPr>
          <w:p>
            <w:r/>
            <w:r>
              <w:rPr>
                <w:b w:val="0"/>
                <w:sz w:val="16"/>
              </w:rPr>
              <w:t>20,49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 w:val="0"/>
                <w:sz w:val="16"/>
              </w:rPr>
              <w:t>PRASM, центы</w:t>
            </w:r>
          </w:p>
        </w:tc>
        <w:tc>
          <w:tcPr>
            <w:tcW w:type="dxa" w:w="1077"/>
          </w:tcPr>
          <w:p>
            <w:r/>
            <w:r>
              <w:rPr>
                <w:b w:val="0"/>
                <w:sz w:val="16"/>
              </w:rPr>
              <w:t>13,90</w:t>
            </w:r>
          </w:p>
        </w:tc>
        <w:tc>
          <w:tcPr>
            <w:tcW w:type="dxa" w:w="1077"/>
          </w:tcPr>
          <w:p>
            <w:r/>
            <w:r>
              <w:rPr>
                <w:b w:val="0"/>
                <w:sz w:val="16"/>
              </w:rPr>
              <w:t>16,15</w:t>
            </w:r>
          </w:p>
        </w:tc>
        <w:tc>
          <w:tcPr>
            <w:tcW w:type="dxa" w:w="1077"/>
          </w:tcPr>
          <w:p>
            <w:r/>
            <w:r>
              <w:rPr>
                <w:b w:val="0"/>
                <w:sz w:val="16"/>
              </w:rPr>
              <w:t>16,84</w:t>
            </w:r>
          </w:p>
        </w:tc>
        <w:tc>
          <w:tcPr>
            <w:tcW w:type="dxa" w:w="1077"/>
          </w:tcPr>
          <w:p>
            <w:r/>
            <w:r>
              <w:rPr>
                <w:b w:val="0"/>
                <w:sz w:val="16"/>
              </w:rPr>
              <w:t>16,66</w:t>
            </w:r>
          </w:p>
        </w:tc>
        <w:tc>
          <w:tcPr>
            <w:tcW w:type="dxa" w:w="1077"/>
          </w:tcPr>
          <w:p>
            <w:r/>
            <w:r>
              <w:rPr>
                <w:b w:val="0"/>
                <w:sz w:val="16"/>
              </w:rPr>
              <w:t>16,18</w:t>
            </w:r>
          </w:p>
        </w:tc>
        <w:tc>
          <w:tcPr>
            <w:tcW w:type="dxa" w:w="1077"/>
          </w:tcPr>
          <w:p>
            <w:r/>
            <w:r>
              <w:rPr>
                <w:b w:val="0"/>
                <w:sz w:val="16"/>
              </w:rPr>
              <w:t>17,74</w:t>
            </w:r>
          </w:p>
        </w:tc>
        <w:tc>
          <w:tcPr>
            <w:tcW w:type="dxa" w:w="1077"/>
          </w:tcPr>
          <w:p>
            <w:r/>
            <w:r>
              <w:rPr>
                <w:b w:val="0"/>
                <w:sz w:val="16"/>
              </w:rPr>
              <w:t>16,98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 w:val="0"/>
                <w:sz w:val="16"/>
              </w:rPr>
              <w:t>TRASM, центы</w:t>
            </w:r>
          </w:p>
        </w:tc>
        <w:tc>
          <w:tcPr>
            <w:tcW w:type="dxa" w:w="1077"/>
          </w:tcPr>
          <w:p>
            <w:r/>
            <w:r>
              <w:rPr>
                <w:b w:val="0"/>
                <w:sz w:val="16"/>
              </w:rPr>
              <w:t>15,18</w:t>
            </w:r>
          </w:p>
        </w:tc>
        <w:tc>
          <w:tcPr>
            <w:tcW w:type="dxa" w:w="1077"/>
          </w:tcPr>
          <w:p>
            <w:r/>
            <w:r>
              <w:rPr>
                <w:b w:val="0"/>
                <w:sz w:val="16"/>
              </w:rPr>
              <w:t>18,14</w:t>
            </w:r>
          </w:p>
        </w:tc>
        <w:tc>
          <w:tcPr>
            <w:tcW w:type="dxa" w:w="1077"/>
          </w:tcPr>
          <w:p>
            <w:r/>
            <w:r>
              <w:rPr>
                <w:b w:val="0"/>
                <w:sz w:val="16"/>
              </w:rPr>
              <w:t>18,44</w:t>
            </w:r>
          </w:p>
        </w:tc>
        <w:tc>
          <w:tcPr>
            <w:tcW w:type="dxa" w:w="1077"/>
          </w:tcPr>
          <w:p>
            <w:r/>
            <w:r>
              <w:rPr>
                <w:b w:val="0"/>
                <w:sz w:val="16"/>
              </w:rPr>
              <w:t>18,34</w:t>
            </w:r>
          </w:p>
        </w:tc>
        <w:tc>
          <w:tcPr>
            <w:tcW w:type="dxa" w:w="1077"/>
          </w:tcPr>
          <w:p>
            <w:r/>
            <w:r>
              <w:rPr>
                <w:b w:val="0"/>
                <w:sz w:val="16"/>
              </w:rPr>
              <w:t>17,88</w:t>
            </w:r>
          </w:p>
        </w:tc>
        <w:tc>
          <w:tcPr>
            <w:tcW w:type="dxa" w:w="1077"/>
          </w:tcPr>
          <w:p>
            <w:r/>
            <w:r>
              <w:rPr>
                <w:b w:val="0"/>
                <w:sz w:val="16"/>
              </w:rPr>
              <w:t>19,57</w:t>
            </w:r>
          </w:p>
        </w:tc>
        <w:tc>
          <w:tcPr>
            <w:tcW w:type="dxa" w:w="1077"/>
          </w:tcPr>
          <w:p>
            <w:r/>
            <w:r>
              <w:rPr>
                <w:b w:val="0"/>
                <w:sz w:val="16"/>
              </w:rPr>
              <w:t>18,73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 w:val="0"/>
                <w:sz w:val="16"/>
              </w:rPr>
              <w:t>CASM, центы</w:t>
            </w:r>
          </w:p>
        </w:tc>
        <w:tc>
          <w:tcPr>
            <w:tcW w:type="dxa" w:w="1077"/>
          </w:tcPr>
          <w:p>
            <w:r/>
            <w:r>
              <w:rPr>
                <w:b w:val="0"/>
                <w:sz w:val="16"/>
              </w:rPr>
              <w:t>13,67</w:t>
            </w:r>
          </w:p>
        </w:tc>
        <w:tc>
          <w:tcPr>
            <w:tcW w:type="dxa" w:w="1077"/>
          </w:tcPr>
          <w:p>
            <w:r/>
            <w:r>
              <w:rPr>
                <w:b w:val="0"/>
                <w:sz w:val="16"/>
              </w:rPr>
              <w:t>17,19</w:t>
            </w:r>
          </w:p>
        </w:tc>
        <w:tc>
          <w:tcPr>
            <w:tcW w:type="dxa" w:w="1077"/>
          </w:tcPr>
          <w:p>
            <w:r/>
            <w:r>
              <w:rPr>
                <w:b w:val="0"/>
                <w:sz w:val="16"/>
              </w:rPr>
              <w:t>16,99</w:t>
            </w:r>
          </w:p>
        </w:tc>
        <w:tc>
          <w:tcPr>
            <w:tcW w:type="dxa" w:w="1077"/>
          </w:tcPr>
          <w:p>
            <w:r/>
            <w:r>
              <w:rPr>
                <w:b w:val="0"/>
                <w:sz w:val="16"/>
              </w:rPr>
              <w:t>16,70</w:t>
            </w:r>
          </w:p>
        </w:tc>
        <w:tc>
          <w:tcPr>
            <w:tcW w:type="dxa" w:w="1077"/>
          </w:tcPr>
          <w:p>
            <w:r/>
            <w:r>
              <w:rPr>
                <w:b w:val="0"/>
                <w:sz w:val="16"/>
              </w:rPr>
              <w:t>16,46</w:t>
            </w:r>
          </w:p>
        </w:tc>
        <w:tc>
          <w:tcPr>
            <w:tcW w:type="dxa" w:w="1077"/>
          </w:tcPr>
          <w:p>
            <w:r/>
            <w:r>
              <w:rPr>
                <w:b w:val="0"/>
                <w:sz w:val="16"/>
              </w:rPr>
              <w:t>18,30</w:t>
            </w:r>
          </w:p>
        </w:tc>
        <w:tc>
          <w:tcPr>
            <w:tcW w:type="dxa" w:w="1077"/>
          </w:tcPr>
          <w:p>
            <w:r/>
            <w:r>
              <w:rPr>
                <w:b w:val="0"/>
                <w:sz w:val="16"/>
              </w:rPr>
              <w:t>17,28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 w:val="0"/>
                <w:sz w:val="16"/>
              </w:rPr>
              <w:t>CASM-ex, центы</w:t>
            </w:r>
          </w:p>
        </w:tc>
        <w:tc>
          <w:tcPr>
            <w:tcW w:type="dxa" w:w="1077"/>
          </w:tcPr>
          <w:p>
            <w:r/>
            <w:r>
              <w:rPr>
                <w:b w:val="0"/>
                <w:sz w:val="16"/>
              </w:rPr>
              <w:t>10,21</w:t>
            </w:r>
          </w:p>
        </w:tc>
        <w:tc>
          <w:tcPr>
            <w:tcW w:type="dxa" w:w="1077"/>
          </w:tcPr>
          <w:p>
            <w:r/>
            <w:r>
              <w:rPr>
                <w:b w:val="0"/>
                <w:sz w:val="16"/>
              </w:rPr>
              <w:t>11,73</w:t>
            </w:r>
          </w:p>
        </w:tc>
        <w:tc>
          <w:tcPr>
            <w:tcW w:type="dxa" w:w="1077"/>
          </w:tcPr>
          <w:p>
            <w:r/>
            <w:r>
              <w:rPr>
                <w:b w:val="0"/>
                <w:sz w:val="16"/>
              </w:rPr>
              <w:t>12,03</w:t>
            </w:r>
          </w:p>
        </w:tc>
        <w:tc>
          <w:tcPr>
            <w:tcW w:type="dxa" w:w="1077"/>
          </w:tcPr>
          <w:p>
            <w:r/>
            <w:r>
              <w:rPr>
                <w:b w:val="0"/>
                <w:sz w:val="16"/>
              </w:rPr>
              <w:t>12,58</w:t>
            </w:r>
          </w:p>
        </w:tc>
        <w:tc>
          <w:tcPr>
            <w:tcW w:type="dxa" w:w="1077"/>
          </w:tcPr>
          <w:p>
            <w:r/>
            <w:r>
              <w:rPr>
                <w:b w:val="0"/>
                <w:sz w:val="16"/>
              </w:rPr>
              <w:t>12,64</w:t>
            </w:r>
          </w:p>
        </w:tc>
        <w:tc>
          <w:tcPr>
            <w:tcW w:type="dxa" w:w="1077"/>
          </w:tcPr>
          <w:p>
            <w:r/>
            <w:r>
              <w:rPr>
                <w:b w:val="0"/>
                <w:sz w:val="16"/>
              </w:rPr>
              <w:t>13,51</w:t>
            </w:r>
          </w:p>
        </w:tc>
        <w:tc>
          <w:tcPr>
            <w:tcW w:type="dxa" w:w="1077"/>
          </w:tcPr>
          <w:p>
            <w:r/>
            <w:r>
              <w:rPr>
                <w:b w:val="0"/>
                <w:sz w:val="16"/>
              </w:rPr>
              <w:t>н/д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 w:val="0"/>
                <w:sz w:val="16"/>
              </w:rPr>
              <w:t>Топливо, $/галл.</w:t>
            </w:r>
          </w:p>
        </w:tc>
        <w:tc>
          <w:tcPr>
            <w:tcW w:type="dxa" w:w="1077"/>
          </w:tcPr>
          <w:p>
            <w:r/>
            <w:r>
              <w:rPr>
                <w:b w:val="0"/>
                <w:sz w:val="16"/>
              </w:rPr>
              <w:t>2,09</w:t>
            </w:r>
          </w:p>
        </w:tc>
        <w:tc>
          <w:tcPr>
            <w:tcW w:type="dxa" w:w="1077"/>
          </w:tcPr>
          <w:p>
            <w:r/>
            <w:r>
              <w:rPr>
                <w:b w:val="0"/>
                <w:sz w:val="16"/>
              </w:rPr>
              <w:t>3,63</w:t>
            </w:r>
          </w:p>
        </w:tc>
        <w:tc>
          <w:tcPr>
            <w:tcW w:type="dxa" w:w="1077"/>
          </w:tcPr>
          <w:p>
            <w:r/>
            <w:r>
              <w:rPr>
                <w:b w:val="0"/>
                <w:sz w:val="16"/>
              </w:rPr>
              <w:t>3,01</w:t>
            </w:r>
          </w:p>
        </w:tc>
        <w:tc>
          <w:tcPr>
            <w:tcW w:type="dxa" w:w="1077"/>
          </w:tcPr>
          <w:p>
            <w:r/>
            <w:r>
              <w:rPr>
                <w:b w:val="0"/>
                <w:sz w:val="16"/>
              </w:rPr>
              <w:t>2,65</w:t>
            </w:r>
          </w:p>
        </w:tc>
        <w:tc>
          <w:tcPr>
            <w:tcW w:type="dxa" w:w="1077"/>
          </w:tcPr>
          <w:p>
            <w:r/>
            <w:r>
              <w:rPr>
                <w:b w:val="0"/>
                <w:sz w:val="16"/>
              </w:rPr>
              <w:t>2,44</w:t>
            </w:r>
          </w:p>
        </w:tc>
        <w:tc>
          <w:tcPr>
            <w:tcW w:type="dxa" w:w="1077"/>
          </w:tcPr>
          <w:p>
            <w:r/>
            <w:r>
              <w:rPr>
                <w:b w:val="0"/>
                <w:sz w:val="16"/>
              </w:rPr>
              <w:t>3,53</w:t>
            </w:r>
          </w:p>
        </w:tc>
        <w:tc>
          <w:tcPr>
            <w:tcW w:type="dxa" w:w="1077"/>
          </w:tcPr>
          <w:p>
            <w:r/>
            <w:r>
              <w:rPr>
                <w:b w:val="0"/>
                <w:sz w:val="16"/>
              </w:rPr>
              <w:t>н/д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 w:val="0"/>
                <w:sz w:val="16"/>
              </w:rPr>
              <w:t>Галл./1000 ASM</w:t>
            </w:r>
          </w:p>
        </w:tc>
        <w:tc>
          <w:tcPr>
            <w:tcW w:type="dxa" w:w="1077"/>
          </w:tcPr>
          <w:p>
            <w:r/>
            <w:r>
              <w:rPr>
                <w:b w:val="0"/>
                <w:sz w:val="16"/>
              </w:rPr>
              <w:t>15,06</w:t>
            </w:r>
          </w:p>
        </w:tc>
        <w:tc>
          <w:tcPr>
            <w:tcW w:type="dxa" w:w="1077"/>
          </w:tcPr>
          <w:p>
            <w:r/>
            <w:r>
              <w:rPr>
                <w:b w:val="0"/>
                <w:sz w:val="16"/>
              </w:rPr>
              <w:t>14,56</w:t>
            </w:r>
          </w:p>
        </w:tc>
        <w:tc>
          <w:tcPr>
            <w:tcW w:type="dxa" w:w="1077"/>
          </w:tcPr>
          <w:p>
            <w:r/>
            <w:r>
              <w:rPr>
                <w:b w:val="0"/>
                <w:sz w:val="16"/>
              </w:rPr>
              <w:t>14,43</w:t>
            </w:r>
          </w:p>
        </w:tc>
        <w:tc>
          <w:tcPr>
            <w:tcW w:type="dxa" w:w="1077"/>
          </w:tcPr>
          <w:p>
            <w:r/>
            <w:r>
              <w:rPr>
                <w:b w:val="0"/>
                <w:sz w:val="16"/>
              </w:rPr>
              <w:t>14,28</w:t>
            </w:r>
          </w:p>
        </w:tc>
        <w:tc>
          <w:tcPr>
            <w:tcW w:type="dxa" w:w="1077"/>
          </w:tcPr>
          <w:p>
            <w:r/>
            <w:r>
              <w:rPr>
                <w:b w:val="0"/>
                <w:sz w:val="16"/>
              </w:rPr>
              <w:t>14,12</w:t>
            </w:r>
          </w:p>
        </w:tc>
        <w:tc>
          <w:tcPr>
            <w:tcW w:type="dxa" w:w="1077"/>
          </w:tcPr>
          <w:p>
            <w:r/>
            <w:r>
              <w:rPr>
                <w:b w:val="0"/>
                <w:sz w:val="16"/>
              </w:rPr>
              <w:t>14,01</w:t>
            </w:r>
          </w:p>
        </w:tc>
        <w:tc>
          <w:tcPr>
            <w:tcW w:type="dxa" w:w="1077"/>
          </w:tcPr>
          <w:p>
            <w:r/>
            <w:r>
              <w:rPr>
                <w:b w:val="0"/>
                <w:sz w:val="16"/>
              </w:rPr>
              <w:t>14,06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 w:val="0"/>
                <w:sz w:val="16"/>
              </w:rPr>
              <w:t>Выручка, $ млрд</w:t>
            </w:r>
          </w:p>
        </w:tc>
        <w:tc>
          <w:tcPr>
            <w:tcW w:type="dxa" w:w="1077"/>
          </w:tcPr>
          <w:p>
            <w:r/>
            <w:r>
              <w:rPr>
                <w:b w:val="0"/>
                <w:sz w:val="16"/>
              </w:rPr>
              <w:t>43,3</w:t>
            </w:r>
          </w:p>
        </w:tc>
        <w:tc>
          <w:tcPr>
            <w:tcW w:type="dxa" w:w="1077"/>
          </w:tcPr>
          <w:p>
            <w:r/>
            <w:r>
              <w:rPr>
                <w:b w:val="0"/>
                <w:sz w:val="16"/>
              </w:rPr>
              <w:t>45,0</w:t>
            </w:r>
          </w:p>
        </w:tc>
        <w:tc>
          <w:tcPr>
            <w:tcW w:type="dxa" w:w="1077"/>
          </w:tcPr>
          <w:p>
            <w:r/>
            <w:r>
              <w:rPr>
                <w:b w:val="0"/>
                <w:sz w:val="16"/>
              </w:rPr>
              <w:t>53,7</w:t>
            </w:r>
          </w:p>
        </w:tc>
        <w:tc>
          <w:tcPr>
            <w:tcW w:type="dxa" w:w="1077"/>
          </w:tcPr>
          <w:p>
            <w:r/>
            <w:r>
              <w:rPr>
                <w:b w:val="0"/>
                <w:sz w:val="16"/>
              </w:rPr>
              <w:t>57,1</w:t>
            </w:r>
          </w:p>
        </w:tc>
        <w:tc>
          <w:tcPr>
            <w:tcW w:type="dxa" w:w="1077"/>
          </w:tcPr>
          <w:p>
            <w:r/>
            <w:r>
              <w:rPr>
                <w:b w:val="0"/>
                <w:sz w:val="16"/>
              </w:rPr>
              <w:t>59,1</w:t>
            </w:r>
          </w:p>
        </w:tc>
        <w:tc>
          <w:tcPr>
            <w:tcW w:type="dxa" w:w="1077"/>
          </w:tcPr>
          <w:p>
            <w:r/>
            <w:r>
              <w:rPr>
                <w:b w:val="0"/>
                <w:sz w:val="16"/>
              </w:rPr>
              <w:t>32,3</w:t>
            </w:r>
          </w:p>
        </w:tc>
        <w:tc>
          <w:tcPr>
            <w:tcW w:type="dxa" w:w="1077"/>
          </w:tcPr>
          <w:p>
            <w:r/>
            <w:r>
              <w:rPr>
                <w:b w:val="0"/>
                <w:sz w:val="16"/>
              </w:rPr>
              <w:t>62,9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 w:val="0"/>
                <w:sz w:val="16"/>
              </w:rPr>
              <w:t>Скорр. опер. маржа</w:t>
            </w:r>
          </w:p>
        </w:tc>
        <w:tc>
          <w:tcPr>
            <w:tcW w:type="dxa" w:w="1077"/>
          </w:tcPr>
          <w:p>
            <w:r/>
            <w:r>
              <w:rPr>
                <w:b w:val="0"/>
                <w:sz w:val="16"/>
              </w:rPr>
              <w:t>10,5%</w:t>
            </w:r>
          </w:p>
        </w:tc>
        <w:tc>
          <w:tcPr>
            <w:tcW w:type="dxa" w:w="1077"/>
          </w:tcPr>
          <w:p>
            <w:r/>
            <w:r>
              <w:rPr>
                <w:b w:val="0"/>
                <w:sz w:val="16"/>
              </w:rPr>
              <w:t>5,5%</w:t>
            </w:r>
          </w:p>
        </w:tc>
        <w:tc>
          <w:tcPr>
            <w:tcW w:type="dxa" w:w="1077"/>
          </w:tcPr>
          <w:p>
            <w:r/>
            <w:r>
              <w:rPr>
                <w:b w:val="0"/>
                <w:sz w:val="16"/>
              </w:rPr>
              <w:t>9,6%</w:t>
            </w:r>
          </w:p>
        </w:tc>
        <w:tc>
          <w:tcPr>
            <w:tcW w:type="dxa" w:w="1077"/>
          </w:tcPr>
          <w:p>
            <w:r/>
            <w:r>
              <w:rPr>
                <w:b w:val="0"/>
                <w:sz w:val="16"/>
              </w:rPr>
              <w:t>9,1%</w:t>
            </w:r>
          </w:p>
        </w:tc>
        <w:tc>
          <w:tcPr>
            <w:tcW w:type="dxa" w:w="1077"/>
          </w:tcPr>
          <w:p>
            <w:r/>
            <w:r>
              <w:rPr>
                <w:b w:val="0"/>
                <w:sz w:val="16"/>
              </w:rPr>
              <w:t>8,4%</w:t>
            </w:r>
          </w:p>
        </w:tc>
        <w:tc>
          <w:tcPr>
            <w:tcW w:type="dxa" w:w="1077"/>
          </w:tcPr>
          <w:p>
            <w:r/>
            <w:r>
              <w:rPr>
                <w:b w:val="0"/>
                <w:sz w:val="16"/>
              </w:rPr>
              <w:t>4,8%</w:t>
            </w:r>
          </w:p>
        </w:tc>
        <w:tc>
          <w:tcPr>
            <w:tcW w:type="dxa" w:w="1077"/>
          </w:tcPr>
          <w:p>
            <w:r/>
            <w:r>
              <w:rPr>
                <w:b w:val="0"/>
                <w:sz w:val="16"/>
              </w:rPr>
              <w:t>6,8%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 w:val="0"/>
                <w:sz w:val="16"/>
              </w:rPr>
              <w:t>Чистая прибыль, $ млрд</w:t>
            </w:r>
          </w:p>
        </w:tc>
        <w:tc>
          <w:tcPr>
            <w:tcW w:type="dxa" w:w="1077"/>
          </w:tcPr>
          <w:p>
            <w:r/>
            <w:r>
              <w:rPr>
                <w:b w:val="0"/>
                <w:sz w:val="16"/>
              </w:rPr>
              <w:t>3,01</w:t>
            </w:r>
          </w:p>
        </w:tc>
        <w:tc>
          <w:tcPr>
            <w:tcW w:type="dxa" w:w="1077"/>
          </w:tcPr>
          <w:p>
            <w:r/>
            <w:r>
              <w:rPr>
                <w:b w:val="0"/>
                <w:sz w:val="16"/>
              </w:rPr>
              <w:t>0,74</w:t>
            </w:r>
          </w:p>
        </w:tc>
        <w:tc>
          <w:tcPr>
            <w:tcW w:type="dxa" w:w="1077"/>
          </w:tcPr>
          <w:p>
            <w:r/>
            <w:r>
              <w:rPr>
                <w:b w:val="0"/>
                <w:sz w:val="16"/>
              </w:rPr>
              <w:t>2,62</w:t>
            </w:r>
          </w:p>
        </w:tc>
        <w:tc>
          <w:tcPr>
            <w:tcW w:type="dxa" w:w="1077"/>
          </w:tcPr>
          <w:p>
            <w:r/>
            <w:r>
              <w:rPr>
                <w:b w:val="0"/>
                <w:sz w:val="16"/>
              </w:rPr>
              <w:t>3,15</w:t>
            </w:r>
          </w:p>
        </w:tc>
        <w:tc>
          <w:tcPr>
            <w:tcW w:type="dxa" w:w="1077"/>
          </w:tcPr>
          <w:p>
            <w:r/>
            <w:r>
              <w:rPr>
                <w:b w:val="0"/>
                <w:sz w:val="16"/>
              </w:rPr>
              <w:t>3,35</w:t>
            </w:r>
          </w:p>
        </w:tc>
        <w:tc>
          <w:tcPr>
            <w:tcW w:type="dxa" w:w="1077"/>
          </w:tcPr>
          <w:p>
            <w:r/>
            <w:r>
              <w:rPr>
                <w:b w:val="0"/>
                <w:sz w:val="16"/>
              </w:rPr>
              <w:t>1,50</w:t>
            </w:r>
          </w:p>
        </w:tc>
        <w:tc>
          <w:tcPr>
            <w:tcW w:type="dxa" w:w="1077"/>
          </w:tcPr>
          <w:p>
            <w:r/>
            <w:r>
              <w:rPr>
                <w:b w:val="0"/>
                <w:sz w:val="16"/>
              </w:rPr>
              <w:t>3,50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 w:val="0"/>
                <w:sz w:val="16"/>
              </w:rPr>
              <w:t>EBITDAR, $ млрд</w:t>
            </w:r>
          </w:p>
        </w:tc>
        <w:tc>
          <w:tcPr>
            <w:tcW w:type="dxa" w:w="1077"/>
          </w:tcPr>
          <w:p>
            <w:r/>
            <w:r>
              <w:rPr>
                <w:b w:val="0"/>
                <w:sz w:val="16"/>
              </w:rPr>
              <w:t>7,10</w:t>
            </w:r>
          </w:p>
        </w:tc>
        <w:tc>
          <w:tcPr>
            <w:tcW w:type="dxa" w:w="1077"/>
          </w:tcPr>
          <w:p>
            <w:r/>
            <w:r>
              <w:rPr>
                <w:b w:val="0"/>
                <w:sz w:val="16"/>
              </w:rPr>
              <w:t>5,20</w:t>
            </w:r>
          </w:p>
        </w:tc>
        <w:tc>
          <w:tcPr>
            <w:tcW w:type="dxa" w:w="1077"/>
          </w:tcPr>
          <w:p>
            <w:r/>
            <w:r>
              <w:rPr>
                <w:b w:val="0"/>
                <w:sz w:val="16"/>
              </w:rPr>
              <w:t>8,13</w:t>
            </w:r>
          </w:p>
        </w:tc>
        <w:tc>
          <w:tcPr>
            <w:tcW w:type="dxa" w:w="1077"/>
          </w:tcPr>
          <w:p>
            <w:r/>
            <w:r>
              <w:rPr>
                <w:b w:val="0"/>
                <w:sz w:val="16"/>
              </w:rPr>
              <w:t>8,40</w:t>
            </w:r>
          </w:p>
        </w:tc>
        <w:tc>
          <w:tcPr>
            <w:tcW w:type="dxa" w:w="1077"/>
          </w:tcPr>
          <w:p>
            <w:r/>
            <w:r>
              <w:rPr>
                <w:b w:val="0"/>
                <w:sz w:val="16"/>
              </w:rPr>
              <w:t>8,33</w:t>
            </w:r>
          </w:p>
        </w:tc>
        <w:tc>
          <w:tcPr>
            <w:tcW w:type="dxa" w:w="1077"/>
          </w:tcPr>
          <w:p>
            <w:r/>
            <w:r>
              <w:rPr>
                <w:b w:val="0"/>
                <w:sz w:val="16"/>
              </w:rPr>
              <w:t>3,33</w:t>
            </w:r>
          </w:p>
        </w:tc>
        <w:tc>
          <w:tcPr>
            <w:tcW w:type="dxa" w:w="1077"/>
          </w:tcPr>
          <w:p>
            <w:r/>
            <w:r>
              <w:rPr>
                <w:b w:val="0"/>
                <w:sz w:val="16"/>
              </w:rPr>
              <w:t>7,73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 w:val="0"/>
                <w:sz w:val="16"/>
              </w:rPr>
              <w:t>FCF (CFO−capex), $ млрд</w:t>
            </w:r>
          </w:p>
        </w:tc>
        <w:tc>
          <w:tcPr>
            <w:tcW w:type="dxa" w:w="1077"/>
          </w:tcPr>
          <w:p>
            <w:r/>
            <w:r>
              <w:rPr>
                <w:b w:val="0"/>
                <w:sz w:val="16"/>
              </w:rPr>
              <w:t>2,38</w:t>
            </w:r>
          </w:p>
        </w:tc>
        <w:tc>
          <w:tcPr>
            <w:tcW w:type="dxa" w:w="1077"/>
          </w:tcPr>
          <w:p>
            <w:r/>
            <w:r>
              <w:rPr>
                <w:b w:val="0"/>
                <w:sz w:val="16"/>
              </w:rPr>
              <w:t>1,25</w:t>
            </w:r>
          </w:p>
        </w:tc>
        <w:tc>
          <w:tcPr>
            <w:tcW w:type="dxa" w:w="1077"/>
          </w:tcPr>
          <w:p>
            <w:r/>
            <w:r>
              <w:rPr>
                <w:b w:val="0"/>
                <w:sz w:val="16"/>
              </w:rPr>
              <w:t>-0,26</w:t>
            </w:r>
          </w:p>
        </w:tc>
        <w:tc>
          <w:tcPr>
            <w:tcW w:type="dxa" w:w="1077"/>
          </w:tcPr>
          <w:p>
            <w:r/>
            <w:r>
              <w:rPr>
                <w:b w:val="0"/>
                <w:sz w:val="16"/>
              </w:rPr>
              <w:t>3,83</w:t>
            </w:r>
          </w:p>
        </w:tc>
        <w:tc>
          <w:tcPr>
            <w:tcW w:type="dxa" w:w="1077"/>
          </w:tcPr>
          <w:p>
            <w:r/>
            <w:r>
              <w:rPr>
                <w:b w:val="0"/>
                <w:sz w:val="16"/>
              </w:rPr>
              <w:t>2,56</w:t>
            </w:r>
          </w:p>
        </w:tc>
        <w:tc>
          <w:tcPr>
            <w:tcW w:type="dxa" w:w="1077"/>
          </w:tcPr>
          <w:p>
            <w:r/>
            <w:r>
              <w:rPr>
                <w:b w:val="0"/>
                <w:sz w:val="16"/>
              </w:rPr>
              <w:t>3,39</w:t>
            </w:r>
          </w:p>
        </w:tc>
        <w:tc>
          <w:tcPr>
            <w:tcW w:type="dxa" w:w="1077"/>
          </w:tcPr>
          <w:p>
            <w:r/>
            <w:r>
              <w:rPr>
                <w:b w:val="0"/>
                <w:sz w:val="16"/>
              </w:rPr>
              <w:t>2,54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 w:val="0"/>
                <w:sz w:val="16"/>
              </w:rPr>
              <w:t>Capex скорр./выручка</w:t>
            </w:r>
          </w:p>
        </w:tc>
        <w:tc>
          <w:tcPr>
            <w:tcW w:type="dxa" w:w="1077"/>
          </w:tcPr>
          <w:p>
            <w:r/>
            <w:r>
              <w:rPr>
                <w:b w:val="0"/>
                <w:sz w:val="16"/>
              </w:rPr>
              <w:t>н/д</w:t>
            </w:r>
          </w:p>
        </w:tc>
        <w:tc>
          <w:tcPr>
            <w:tcW w:type="dxa" w:w="1077"/>
          </w:tcPr>
          <w:p>
            <w:r/>
            <w:r>
              <w:rPr>
                <w:b w:val="0"/>
                <w:sz w:val="16"/>
              </w:rPr>
              <w:t>10,8%</w:t>
            </w:r>
          </w:p>
        </w:tc>
        <w:tc>
          <w:tcPr>
            <w:tcW w:type="dxa" w:w="1077"/>
          </w:tcPr>
          <w:p>
            <w:r/>
            <w:r>
              <w:rPr>
                <w:b w:val="0"/>
                <w:sz w:val="16"/>
              </w:rPr>
              <w:t>14,8%</w:t>
            </w:r>
          </w:p>
        </w:tc>
        <w:tc>
          <w:tcPr>
            <w:tcW w:type="dxa" w:w="1077"/>
          </w:tcPr>
          <w:p>
            <w:r/>
            <w:r>
              <w:rPr>
                <w:b w:val="0"/>
                <w:sz w:val="16"/>
              </w:rPr>
              <w:t>11,0%</w:t>
            </w:r>
          </w:p>
        </w:tc>
        <w:tc>
          <w:tcPr>
            <w:tcW w:type="dxa" w:w="1077"/>
          </w:tcPr>
          <w:p>
            <w:r/>
            <w:r>
              <w:rPr>
                <w:b w:val="0"/>
                <w:sz w:val="16"/>
              </w:rPr>
              <w:t>10,6%</w:t>
            </w:r>
          </w:p>
        </w:tc>
        <w:tc>
          <w:tcPr>
            <w:tcW w:type="dxa" w:w="1077"/>
          </w:tcPr>
          <w:p>
            <w:r/>
            <w:r>
              <w:rPr>
                <w:b w:val="0"/>
                <w:sz w:val="16"/>
              </w:rPr>
              <w:t>9,8%</w:t>
            </w:r>
          </w:p>
        </w:tc>
        <w:tc>
          <w:tcPr>
            <w:tcW w:type="dxa" w:w="1077"/>
          </w:tcPr>
          <w:p>
            <w:r/>
            <w:r>
              <w:rPr>
                <w:b w:val="0"/>
                <w:sz w:val="16"/>
              </w:rPr>
              <w:t>11,1%</w:t>
            </w:r>
          </w:p>
        </w:tc>
      </w:tr>
    </w:tbl>
    <w:p>
      <w:pPr>
        <w:spacing w:after="80"/>
      </w:pPr>
      <w:r>
        <w:rPr>
          <w:b w:val="0"/>
          <w:i/>
          <w:color w:val="52514E"/>
          <w:sz w:val="16"/>
        </w:rPr>
        <w:t>Источник: листы Hist и Metrics (8-K и XBRL UAL). 1П26 — полугодие; TTM = 2025 + 1П26 − 1П25. Топливо и CASM-ex за TTM не суммируются (н/д).</w:t>
      </w:r>
    </w:p>
    <w:p>
      <w:pPr>
        <w:spacing w:after="80"/>
      </w:pPr>
      <w:r>
        <w:rPr>
          <w:b w:val="0"/>
          <w:i w:val="0"/>
        </w:rPr>
        <w:t>Динамика. Выручка 2025 — $59,1 млрд (+37% к 2019), но скорр. опер. маржа 8,4% ниже уровня 2019 (10,5%). CASM-ex вырос на 24% (10,21 → 12,64 цента), TRASM — на 18% (15,18 → 17,88). Основные причины — новые коллективные договоры (зарплаты +46% при ASM +16%) и аэропортовые сборы. В 2026 топливо подорожало до $3,53 за 1П (во 2К — $4,19), TRASM выросла на 9,7% за 1П, CASM-ex — на 6,0%.</w:t>
      </w:r>
    </w:p>
    <w:p>
      <w:r>
        <w:drawing>
          <wp:inline xmlns:a="http://schemas.openxmlformats.org/drawingml/2006/main" xmlns:pic="http://schemas.openxmlformats.org/drawingml/2006/picture">
            <wp:extent cx="5400000" cy="2835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ni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3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b w:val="0"/>
          <w:i/>
          <w:color w:val="52514E"/>
          <w:sz w:val="16"/>
        </w:rPr>
        <w:t>Источник: 8-K UAL; лист Metrics.</w:t>
      </w:r>
    </w:p>
    <w:p>
      <w:r>
        <w:drawing>
          <wp:inline xmlns:a="http://schemas.openxmlformats.org/drawingml/2006/main" xmlns:pic="http://schemas.openxmlformats.org/drawingml/2006/picture">
            <wp:extent cx="5580000" cy="248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4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b w:val="0"/>
          <w:i/>
          <w:color w:val="52514E"/>
          <w:sz w:val="16"/>
        </w:rPr>
        <w:t>Источник: 8-K UAL; FRED (EIA).</w:t>
      </w:r>
    </w:p>
    <w:p>
      <w:pPr>
        <w:pStyle w:val="Heading2"/>
      </w:pPr>
      <w:r>
        <w:t>Капзатраты, поставки и Boeing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2268"/>
            <w:shd w:val="clear" w:color="auto" w:fill="D9E1F2"/>
          </w:tcPr>
          <w:p>
            <w:r/>
            <w:r>
              <w:rPr>
                <w:b/>
                <w:sz w:val="17"/>
              </w:rPr>
              <w:t>Тип</w:t>
            </w:r>
          </w:p>
        </w:tc>
        <w:tc>
          <w:tcPr>
            <w:tcW w:type="dxa" w:w="1474"/>
            <w:shd w:val="clear" w:color="auto" w:fill="D9E1F2"/>
          </w:tcPr>
          <w:p>
            <w:r/>
            <w:r>
              <w:rPr>
                <w:b/>
                <w:sz w:val="17"/>
              </w:rPr>
              <w:t>Контракт 2П26</w:t>
            </w:r>
          </w:p>
        </w:tc>
        <w:tc>
          <w:tcPr>
            <w:tcW w:type="dxa" w:w="1474"/>
            <w:shd w:val="clear" w:color="auto" w:fill="D9E1F2"/>
          </w:tcPr>
          <w:p>
            <w:r/>
            <w:r>
              <w:rPr>
                <w:b/>
                <w:sz w:val="17"/>
              </w:rPr>
              <w:t>Ожид. 2П26</w:t>
            </w:r>
          </w:p>
        </w:tc>
        <w:tc>
          <w:tcPr>
            <w:tcW w:type="dxa" w:w="1474"/>
            <w:shd w:val="clear" w:color="auto" w:fill="D9E1F2"/>
          </w:tcPr>
          <w:p>
            <w:r/>
            <w:r>
              <w:rPr>
                <w:b/>
                <w:sz w:val="17"/>
              </w:rPr>
              <w:t>Контракт 2027</w:t>
            </w:r>
          </w:p>
        </w:tc>
        <w:tc>
          <w:tcPr>
            <w:tcW w:type="dxa" w:w="1474"/>
            <w:shd w:val="clear" w:color="auto" w:fill="D9E1F2"/>
          </w:tcPr>
          <w:p>
            <w:r/>
            <w:r>
              <w:rPr>
                <w:b/>
                <w:sz w:val="17"/>
              </w:rPr>
              <w:t>Ожид. 2027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7"/>
              </w:rPr>
              <w:t>Boeing 787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42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12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11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27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7"/>
              </w:rPr>
              <w:t>Boeing 737 MAX 9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63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40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23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7"/>
              </w:rPr>
              <w:t>Boeing 737 MAX 10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44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20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7"/>
              </w:rPr>
              <w:t>Airbus A321neo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5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7"/>
              </w:rPr>
              <w:t>Airbus A321XLR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15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15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7"/>
              </w:rPr>
              <w:t>Итого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121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63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73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7"/>
              </w:rPr>
              <w:t>90</w:t>
            </w:r>
          </w:p>
        </w:tc>
      </w:tr>
    </w:tbl>
    <w:p>
      <w:pPr>
        <w:spacing w:after="80"/>
      </w:pPr>
      <w:r>
        <w:rPr>
          <w:b w:val="0"/>
          <w:i/>
          <w:color w:val="52514E"/>
          <w:sz w:val="16"/>
        </w:rPr>
        <w:t>Источник: 10-Q UAL за 2 кв. 2026 (Firm Order and Option Aircraft). Ожидаемые поставки — с учётом задержек, сообщённых Boeing/Airbus.</w:t>
      </w:r>
    </w:p>
    <w:p>
      <w:pPr>
        <w:spacing w:after="80"/>
      </w:pPr>
      <w:r>
        <w:rPr>
          <w:b w:val="0"/>
          <w:i w:val="0"/>
        </w:rPr>
        <w:t>[О] Из контрактных поставок Boeing на 2П26–2027 UAL ожидает лишь 75%. MAX 10 не сертифицирован, 787 сдвинуты. Эффект двоякий: рост мощностей ниже (ASM 2026 ~+2,5%) и капзатраты 2026 ниже — ~$7,5 млрд против «&lt;$8 млрд» в январе. Но старый парк (A319/A320, 757/767) летает дольше, топливная эффективность растёт медленнее, а обязательства переезжают в 2028–2030 ($7,4–9,0 млрд в год по контрактам, 10-K 2025). В модели капзатраты 2027–2030 — 11–12% выручки против 10,6% в 2025.</w:t>
      </w:r>
    </w:p>
    <w:p>
      <w:pPr>
        <w:pStyle w:val="Heading2"/>
      </w:pPr>
      <w:r>
        <w:t>Качество прибыли</w:t>
      </w:r>
    </w:p>
    <w:p>
      <w:r>
        <w:drawing>
          <wp:inline xmlns:a="http://schemas.openxmlformats.org/drawingml/2006/main" xmlns:pic="http://schemas.openxmlformats.org/drawingml/2006/picture">
            <wp:extent cx="5400000" cy="2835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f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3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b w:val="0"/>
          <w:i/>
          <w:color w:val="52514E"/>
          <w:sz w:val="16"/>
        </w:rPr>
        <w:t>Источник: XBRL 10-K/10-Q UAL.</w:t>
      </w:r>
    </w:p>
    <w:p>
      <w:pPr>
        <w:spacing w:after="80"/>
      </w:pPr>
      <w:r>
        <w:rPr>
          <w:b w:val="0"/>
          <w:i w:val="0"/>
        </w:rPr>
        <w:t>CFO/прибыль: 2,5x в 2025. Разница с прибылью — это амортизация ($2,9 млрд), отложенный налог ($0,9 млрд неденежного налога: денежный налог $28 млн благодаря NOL) и прирост авансов и отложенной выручки миль ($0,9 млрд). Без последнего CFO/прибыль = 2,2x. Авансы равны 26,9% выручки и при спаде продаж уходят обратно: в 2023 их прирост был отрицательным (−$383 млн). Вывод: прибыль UAL подкреплена деньгами, но FCF после капзатрат скромный (4,3% выручки в 2025) и чувствителен к росту.</w:t>
      </w:r>
    </w:p>
    <w:p>
      <w:pPr>
        <w:pStyle w:val="Heading2"/>
      </w:pPr>
      <w:r>
        <w:t>Баланс и долг</w:t>
      </w:r>
    </w:p>
    <w:p>
      <w:r>
        <w:drawing>
          <wp:inline xmlns:a="http://schemas.openxmlformats.org/drawingml/2006/main" xmlns:pic="http://schemas.openxmlformats.org/drawingml/2006/picture">
            <wp:extent cx="5400000" cy="2835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v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3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b w:val="0"/>
          <w:i/>
          <w:color w:val="52514E"/>
          <w:sz w:val="16"/>
        </w:rPr>
        <w:t>Источник: 8-K UAL; лист Metrics / Debt.</w:t>
      </w:r>
    </w:p>
    <w:p>
      <w:pPr>
        <w:spacing w:after="80"/>
      </w:pPr>
      <w:r>
        <w:rPr>
          <w:b w:val="0"/>
          <w:i w:val="0"/>
        </w:rPr>
        <w:t>[Ф] На 30.06.2026: долг, финансовая аренда и прочие финансовые обязательства — $26,5 млрд, операционная аренда — $7,2 млрд, пенсии — $1,1 млрд; итого скорр. долг $34,7 млрд. Денежные средства и инвестиции — $16,6 млрд, чистый скорр. долг — $18,1 млрд (совпадает с 8-K). Чистый долг/EBITDAR = 2,3x по постоянному определению (2,2x по новому определению UAL). Покрытие процентов скорр. EBIT — 3,2x. Ликвидность $19,6 млрд (31% выручки), ковенант минимальной ликвидности — $2 млрд. Рейтинги BB+ (S&amp;P, позитивный прогноз) / Ba1 / BB+. Платежи по долгу, аренде и прочим финансовым обязательствам (вкл. проценты) — $6,4 млрд в 2026, $4,7 млрд в 2027, $3,8 млрд в 2028 (10-K 2025). Выкуп: $637 млн в 2025, остаток программы $755 млн; во 2К26 выкупа не было.</w:t>
      </w:r>
    </w:p>
    <w:p>
      <w:pPr>
        <w:spacing w:after="80"/>
      </w:pPr>
      <w:r>
        <w:rPr>
          <w:b w:val="0"/>
          <w:i w:val="0"/>
        </w:rPr>
        <w:t>EBITDA или CFO? Долг/CFO за TTM (2,0x) мягче, чем долг/EBITDAR (2,3x), потому что CFO включает приток авансов и почти нулевой денежный налог. Оба эффекта временные: авансы разворачиваются в спад, NOL заканчиваются. Для авиакомпании надёжнее чистый долг (с арендой и пенсиями) к EBITDAR, оценённому через цикл, с проверкой по CFO без изменения авансов (2,6x в 2025).</w:t>
      </w:r>
    </w:p>
    <w:p>
      <w:pPr>
        <w:pStyle w:val="Heading2"/>
      </w:pPr>
      <w:r>
        <w:t>Чувствительность прибыли</w:t>
      </w:r>
    </w:p>
    <w:p>
      <w:pPr>
        <w:spacing w:after="80"/>
      </w:pPr>
      <w:r>
        <w:rPr>
          <w:b w:val="0"/>
          <w:i w:val="0"/>
        </w:rPr>
        <w:t>[О] UAL не хеджирует топливо. ±10% к цене топлива = ∓$1,4 млрд опер. прибыли за TTM (33% скорр. опер. прибыли $4,3 млрд) и ∓$1,6 млрд в 2027E. ±1% RASM = ±$0,63 млрд (15%). Это статический эффект: до участия в прибыли и без переноса в тариф (лист Sensitivity).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2381"/>
            <w:shd w:val="clear" w:color="auto" w:fill="D9E1F2"/>
          </w:tcPr>
          <w:p>
            <w:r/>
            <w:r>
              <w:rPr>
                <w:b/>
                <w:sz w:val="17"/>
              </w:rPr>
              <w:t>Топливо 2027E, $/галл. \ ΔTRASM</w:t>
            </w:r>
          </w:p>
        </w:tc>
        <w:tc>
          <w:tcPr>
            <w:tcW w:type="dxa" w:w="1304"/>
            <w:shd w:val="clear" w:color="auto" w:fill="D9E1F2"/>
          </w:tcPr>
          <w:p>
            <w:r/>
            <w:r>
              <w:rPr>
                <w:b/>
                <w:sz w:val="17"/>
              </w:rPr>
              <w:t>−4%</w:t>
            </w:r>
          </w:p>
        </w:tc>
        <w:tc>
          <w:tcPr>
            <w:tcW w:type="dxa" w:w="1304"/>
            <w:shd w:val="clear" w:color="auto" w:fill="D9E1F2"/>
          </w:tcPr>
          <w:p>
            <w:r/>
            <w:r>
              <w:rPr>
                <w:b/>
                <w:sz w:val="17"/>
              </w:rPr>
              <w:t>−2%</w:t>
            </w:r>
          </w:p>
        </w:tc>
        <w:tc>
          <w:tcPr>
            <w:tcW w:type="dxa" w:w="1304"/>
            <w:shd w:val="clear" w:color="auto" w:fill="D9E1F2"/>
          </w:tcPr>
          <w:p>
            <w:r/>
            <w:r>
              <w:rPr>
                <w:b/>
                <w:sz w:val="17"/>
              </w:rPr>
              <w:t>0%</w:t>
            </w:r>
          </w:p>
        </w:tc>
        <w:tc>
          <w:tcPr>
            <w:tcW w:type="dxa" w:w="1304"/>
            <w:shd w:val="clear" w:color="auto" w:fill="D9E1F2"/>
          </w:tcPr>
          <w:p>
            <w:r/>
            <w:r>
              <w:rPr>
                <w:b/>
                <w:sz w:val="17"/>
              </w:rPr>
              <w:t>+2%</w:t>
            </w:r>
          </w:p>
        </w:tc>
        <w:tc>
          <w:tcPr>
            <w:tcW w:type="dxa" w:w="1304"/>
            <w:shd w:val="clear" w:color="auto" w:fill="D9E1F2"/>
          </w:tcPr>
          <w:p>
            <w:r/>
            <w:r>
              <w:rPr>
                <w:b/>
                <w:sz w:val="17"/>
              </w:rPr>
              <w:t>+4%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2,70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sz w:val="17"/>
              </w:rPr>
              <w:t>$9,06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sz w:val="17"/>
              </w:rPr>
              <w:t>$11,96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sz w:val="17"/>
              </w:rPr>
              <w:t>$14,86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sz w:val="17"/>
              </w:rPr>
              <w:t>$17,75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sz w:val="17"/>
              </w:rPr>
              <w:t>$20,65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3,00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sz w:val="17"/>
              </w:rPr>
              <w:t>$5,99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sz w:val="17"/>
              </w:rPr>
              <w:t>$8,88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sz w:val="17"/>
              </w:rPr>
              <w:t>$11,78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sz w:val="17"/>
              </w:rPr>
              <w:t>$14,68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sz w:val="17"/>
              </w:rPr>
              <w:t>$17,58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3,30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sz w:val="17"/>
              </w:rPr>
              <w:t>$2,91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sz w:val="17"/>
              </w:rPr>
              <w:t>$5,81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sz w:val="17"/>
              </w:rPr>
              <w:t>$8,71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sz w:val="17"/>
              </w:rPr>
              <w:t>$11,61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sz w:val="17"/>
              </w:rPr>
              <w:t>$14,51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3,60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sz w:val="17"/>
              </w:rPr>
              <w:t>−$0,16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sz w:val="17"/>
              </w:rPr>
              <w:t>$2,74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sz w:val="17"/>
              </w:rPr>
              <w:t>$5,64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sz w:val="17"/>
              </w:rPr>
              <w:t>$8,54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sz w:val="17"/>
              </w:rPr>
              <w:t>$11,44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3,90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sz w:val="17"/>
              </w:rPr>
              <w:t>−$3,49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sz w:val="17"/>
              </w:rPr>
              <w:t>−$0,33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sz w:val="17"/>
              </w:rPr>
              <w:t>$2,57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sz w:val="17"/>
              </w:rPr>
              <w:t>$5,47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sz w:val="17"/>
              </w:rPr>
              <w:t>$8,37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7"/>
              </w:rPr>
              <w:t>4,20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sz w:val="17"/>
              </w:rPr>
              <w:t>−$6,98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sz w:val="17"/>
              </w:rPr>
              <w:t>−$3,69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sz w:val="17"/>
              </w:rPr>
              <w:t>−$0,50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sz w:val="17"/>
              </w:rPr>
              <w:t>$2,40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sz w:val="17"/>
              </w:rPr>
              <w:t>$5,30</w:t>
            </w:r>
          </w:p>
        </w:tc>
      </w:tr>
    </w:tbl>
    <w:p>
      <w:pPr>
        <w:spacing w:after="80"/>
      </w:pPr>
      <w:r>
        <w:rPr>
          <w:b w:val="0"/>
          <w:i/>
          <w:color w:val="52514E"/>
          <w:sz w:val="16"/>
        </w:rPr>
        <w:t>Источник: UAL_model.xlsx, лист Sensitivity (EPS 2027E, базовый сценарий: топливо $3,30, TRASM 19,68 цента; без переноса топлива в тариф).</w:t>
      </w:r>
    </w:p>
    <w:p>
      <w:pPr>
        <w:pStyle w:val="Heading1"/>
      </w:pPr>
      <w:r>
        <w:t>3. Сравнительный анализ и оценка</w:t>
      </w:r>
    </w:p>
    <w:p>
      <w:pPr>
        <w:pStyle w:val="Heading2"/>
      </w:pPr>
      <w:r>
        <w:t>Пиры и мультипликаторы</w:t>
      </w:r>
    </w:p>
    <w:p>
      <w:pPr>
        <w:spacing w:after="80"/>
      </w:pPr>
      <w:r>
        <w:rPr>
          <w:b w:val="0"/>
          <w:i w:val="0"/>
        </w:rPr>
        <w:t>Почему такие пиры: Delta и American — сетевые перевозчики с хабами, премиальными кабинами и международными сетями, то есть прямые аналоги. Southwest, Alaska и JetBlue — внутренние и лоукост-модели, нужны для контекста сектора. Где сравнение некорректно: LUV летает на короткие рейсы без премиум-кабин; ALK интегрирует Hawaiian (убыток), JBLU убыточна; у AAL отрицательный капитал; у Delta свой НПЗ (дешевле топливо, выручка НПЗ в отчётности); TTM-прибыль UAL включает $615 млн разовых доходов от sale-leaseback. Air France-KLM, IAG и Lufthansa отчитываются по МСФО (IFRS 16: вся аренда уже в EBITDA), их мультипликаторы не рассчитывались — первичные данные за 1П26 не собраны.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2041"/>
            <w:shd w:val="clear" w:color="auto" w:fill="D9E1F2"/>
          </w:tcPr>
          <w:p>
            <w:r/>
            <w:r>
              <w:rPr>
                <w:b/>
                <w:sz w:val="16"/>
              </w:rPr>
            </w:r>
          </w:p>
        </w:tc>
        <w:tc>
          <w:tcPr>
            <w:tcW w:type="dxa" w:w="964"/>
            <w:shd w:val="clear" w:color="auto" w:fill="D9E1F2"/>
          </w:tcPr>
          <w:p>
            <w:r/>
            <w:r>
              <w:rPr>
                <w:b/>
                <w:sz w:val="16"/>
              </w:rPr>
              <w:t>UAL</w:t>
            </w:r>
          </w:p>
        </w:tc>
        <w:tc>
          <w:tcPr>
            <w:tcW w:type="dxa" w:w="964"/>
            <w:shd w:val="clear" w:color="auto" w:fill="D9E1F2"/>
          </w:tcPr>
          <w:p>
            <w:r/>
            <w:r>
              <w:rPr>
                <w:b/>
                <w:sz w:val="16"/>
              </w:rPr>
              <w:t>DAL</w:t>
            </w:r>
          </w:p>
        </w:tc>
        <w:tc>
          <w:tcPr>
            <w:tcW w:type="dxa" w:w="964"/>
            <w:shd w:val="clear" w:color="auto" w:fill="D9E1F2"/>
          </w:tcPr>
          <w:p>
            <w:r/>
            <w:r>
              <w:rPr>
                <w:b/>
                <w:sz w:val="16"/>
              </w:rPr>
              <w:t>AAL</w:t>
            </w:r>
          </w:p>
        </w:tc>
        <w:tc>
          <w:tcPr>
            <w:tcW w:type="dxa" w:w="964"/>
            <w:shd w:val="clear" w:color="auto" w:fill="D9E1F2"/>
          </w:tcPr>
          <w:p>
            <w:r/>
            <w:r>
              <w:rPr>
                <w:b/>
                <w:sz w:val="16"/>
              </w:rPr>
              <w:t>LUV</w:t>
            </w:r>
          </w:p>
        </w:tc>
        <w:tc>
          <w:tcPr>
            <w:tcW w:type="dxa" w:w="964"/>
            <w:shd w:val="clear" w:color="auto" w:fill="D9E1F2"/>
          </w:tcPr>
          <w:p>
            <w:r/>
            <w:r>
              <w:rPr>
                <w:b/>
                <w:sz w:val="16"/>
              </w:rPr>
              <w:t>ALK</w:t>
            </w:r>
          </w:p>
        </w:tc>
        <w:tc>
          <w:tcPr>
            <w:tcW w:type="dxa" w:w="964"/>
            <w:shd w:val="clear" w:color="auto" w:fill="D9E1F2"/>
          </w:tcPr>
          <w:p>
            <w:r/>
            <w:r>
              <w:rPr>
                <w:b/>
                <w:sz w:val="16"/>
              </w:rPr>
              <w:t>JBLU</w:t>
            </w:r>
          </w:p>
        </w:tc>
        <w:tc>
          <w:tcPr>
            <w:tcW w:type="dxa" w:w="1020"/>
            <w:shd w:val="clear" w:color="auto" w:fill="D9E1F2"/>
          </w:tcPr>
          <w:p>
            <w:r/>
            <w:r>
              <w:rPr>
                <w:b/>
                <w:sz w:val="16"/>
              </w:rPr>
              <w:t>Медиана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 w:val="0"/>
                <w:sz w:val="16"/>
              </w:rPr>
              <w:t>EV/EBITDAR (GAAP)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sz w:val="16"/>
              </w:rPr>
              <w:t>6,3x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sz w:val="16"/>
              </w:rPr>
              <w:t>8,2x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sz w:val="16"/>
              </w:rPr>
              <w:t>9,0x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sz w:val="16"/>
              </w:rPr>
              <w:t>8,9x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sz w:val="16"/>
              </w:rPr>
              <w:t>11,4x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sz w:val="16"/>
              </w:rPr>
              <w:t>40,9x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6"/>
              </w:rPr>
              <w:t>9,0x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 w:val="0"/>
                <w:sz w:val="16"/>
              </w:rPr>
              <w:t>P/E TTM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sz w:val="16"/>
              </w:rPr>
              <w:t>9,6x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sz w:val="16"/>
              </w:rPr>
              <w:t>13,3x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sz w:val="16"/>
              </w:rPr>
              <w:t>н/п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sz w:val="16"/>
              </w:rPr>
              <w:t>23,8x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sz w:val="16"/>
              </w:rPr>
              <w:t>н/п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sz w:val="16"/>
              </w:rPr>
              <w:t>н/п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6"/>
              </w:rPr>
              <w:t>18,5x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 w:val="0"/>
                <w:sz w:val="16"/>
              </w:rPr>
              <w:t>FCF yield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sz w:val="16"/>
              </w:rPr>
              <w:t>7,5%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sz w:val="16"/>
              </w:rPr>
              <w:t>6,5%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sz w:val="16"/>
              </w:rPr>
              <w:t>3,4%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sz w:val="16"/>
              </w:rPr>
              <w:t>-2,0%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sz w:val="16"/>
              </w:rPr>
              <w:t>-3,2%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sz w:val="16"/>
              </w:rPr>
              <w:t>-85,5%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6"/>
              </w:rPr>
              <w:t>-2,0%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 w:val="0"/>
                <w:sz w:val="16"/>
              </w:rPr>
              <w:t>EV/выручка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sz w:val="16"/>
              </w:rPr>
              <w:t>0,82x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sz w:val="16"/>
              </w:rPr>
              <w:t>1,04x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sz w:val="16"/>
              </w:rPr>
              <w:t>0,64x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sz w:val="16"/>
              </w:rPr>
              <w:t>0,77x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sz w:val="16"/>
              </w:rPr>
              <w:t>0,65x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sz w:val="16"/>
              </w:rPr>
              <w:t>0,91x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6"/>
              </w:rPr>
              <w:t>0,77x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 w:val="0"/>
                <w:sz w:val="16"/>
              </w:rPr>
              <w:t>P/B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sz w:val="16"/>
              </w:rPr>
              <w:t>2,02x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sz w:val="16"/>
              </w:rPr>
              <w:t>2,40x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sz w:val="16"/>
              </w:rPr>
              <w:t>н/п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sz w:val="16"/>
              </w:rPr>
              <w:t>2,81x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sz w:val="16"/>
              </w:rPr>
              <w:t>1,15x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sz w:val="16"/>
              </w:rPr>
              <w:t>0,80x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6"/>
              </w:rPr>
              <w:t>1,77x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 w:val="0"/>
                <w:sz w:val="16"/>
              </w:rPr>
              <w:t>Опер. маржа TTM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sz w:val="16"/>
              </w:rPr>
              <w:t>7,7%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sz w:val="16"/>
              </w:rPr>
              <w:t>8,1%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sz w:val="16"/>
              </w:rPr>
              <w:t>1,7%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sz w:val="16"/>
              </w:rPr>
              <w:t>3,5%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sz w:val="16"/>
              </w:rPr>
              <w:t>-1,5%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sz w:val="16"/>
              </w:rPr>
              <w:t>-5,9%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6"/>
              </w:rPr>
              <w:t>1,7%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 w:val="0"/>
                <w:sz w:val="16"/>
              </w:rPr>
              <w:t>Чист. долг/EBITDAR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sz w:val="16"/>
              </w:rPr>
              <w:t>2,2x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sz w:val="16"/>
              </w:rPr>
              <w:t>2,1x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sz w:val="16"/>
              </w:rPr>
              <w:t>7,0x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sz w:val="16"/>
              </w:rPr>
              <w:t>1,3x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sz w:val="16"/>
              </w:rPr>
              <w:t>6,3x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sz w:val="16"/>
              </w:rPr>
              <w:t>34,9x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6"/>
              </w:rPr>
              <w:t>6,3x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 w:val="0"/>
                <w:sz w:val="16"/>
              </w:rPr>
              <w:t>P/E FY2026 (конс./гайденс)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sz w:val="16"/>
              </w:rPr>
              <w:t>13,0x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sz w:val="16"/>
              </w:rPr>
              <w:t>14,9x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sz w:val="16"/>
              </w:rPr>
              <w:t>н/п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sz w:val="16"/>
              </w:rPr>
              <w:t>н/д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sz w:val="16"/>
              </w:rPr>
              <w:t>н/д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sz w:val="16"/>
              </w:rPr>
              <w:t>н/д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6"/>
              </w:rPr>
              <w:t>—</w:t>
            </w:r>
          </w:p>
        </w:tc>
      </w:tr>
    </w:tbl>
    <w:p>
      <w:pPr>
        <w:spacing w:after="80"/>
      </w:pPr>
      <w:r>
        <w:rPr>
          <w:b w:val="0"/>
          <w:i/>
          <w:color w:val="52514E"/>
          <w:sz w:val="16"/>
        </w:rPr>
        <w:t>Источник: SEC XBRL (TTM на 30.06.2026: FY2025 + 1П26 − 1П25), цены 13.10.2026 (Yahoo Finance); EV включает опер. аренду и пенсии. Консенсус UAL — Yahoo Finance; DAL — гайденс 09.10.2026.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2041"/>
            <w:shd w:val="clear" w:color="auto" w:fill="D9E1F2"/>
          </w:tcPr>
          <w:p>
            <w:r/>
            <w:r>
              <w:rPr>
                <w:b/>
                <w:sz w:val="17"/>
              </w:rPr>
            </w:r>
          </w:p>
        </w:tc>
        <w:tc>
          <w:tcPr>
            <w:tcW w:type="dxa" w:w="1134"/>
            <w:shd w:val="clear" w:color="auto" w:fill="D9E1F2"/>
          </w:tcPr>
          <w:p>
            <w:r/>
            <w:r>
              <w:rPr>
                <w:b/>
                <w:sz w:val="17"/>
              </w:rPr>
              <w:t>2019</w:t>
            </w:r>
          </w:p>
        </w:tc>
        <w:tc>
          <w:tcPr>
            <w:tcW w:type="dxa" w:w="1134"/>
            <w:shd w:val="clear" w:color="auto" w:fill="D9E1F2"/>
          </w:tcPr>
          <w:p>
            <w:r/>
            <w:r>
              <w:rPr>
                <w:b/>
                <w:sz w:val="17"/>
              </w:rPr>
              <w:t>2022</w:t>
            </w:r>
          </w:p>
        </w:tc>
        <w:tc>
          <w:tcPr>
            <w:tcW w:type="dxa" w:w="1134"/>
            <w:shd w:val="clear" w:color="auto" w:fill="D9E1F2"/>
          </w:tcPr>
          <w:p>
            <w:r/>
            <w:r>
              <w:rPr>
                <w:b/>
                <w:sz w:val="17"/>
              </w:rPr>
              <w:t>2023</w:t>
            </w:r>
          </w:p>
        </w:tc>
        <w:tc>
          <w:tcPr>
            <w:tcW w:type="dxa" w:w="1134"/>
            <w:shd w:val="clear" w:color="auto" w:fill="D9E1F2"/>
          </w:tcPr>
          <w:p>
            <w:r/>
            <w:r>
              <w:rPr>
                <w:b/>
                <w:sz w:val="17"/>
              </w:rPr>
              <w:t>2024</w:t>
            </w:r>
          </w:p>
        </w:tc>
        <w:tc>
          <w:tcPr>
            <w:tcW w:type="dxa" w:w="1134"/>
            <w:shd w:val="clear" w:color="auto" w:fill="D9E1F2"/>
          </w:tcPr>
          <w:p>
            <w:r/>
            <w:r>
              <w:rPr>
                <w:b/>
                <w:sz w:val="17"/>
              </w:rPr>
              <w:t>2025</w:t>
            </w:r>
          </w:p>
        </w:tc>
        <w:tc>
          <w:tcPr>
            <w:tcW w:type="dxa" w:w="1247"/>
            <w:shd w:val="clear" w:color="auto" w:fill="D9E1F2"/>
          </w:tcPr>
          <w:p>
            <w:r/>
            <w:r>
              <w:rPr>
                <w:b/>
                <w:sz w:val="17"/>
              </w:rPr>
              <w:t>Текущий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 w:val="0"/>
                <w:sz w:val="17"/>
              </w:rPr>
              <w:t>EV/EBITDAR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17"/>
              </w:rPr>
              <w:t>5,5x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17"/>
              </w:rPr>
              <w:t>6,7x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17"/>
              </w:rPr>
              <w:t>4,6x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17"/>
              </w:rPr>
              <w:t>6,2x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17"/>
              </w:rPr>
              <w:t>6,7x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7"/>
              </w:rPr>
              <w:t>6,7x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 w:val="0"/>
                <w:sz w:val="17"/>
              </w:rPr>
              <w:t>P/E (скорр. EPS)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17"/>
              </w:rPr>
              <w:t>7,3x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17"/>
              </w:rPr>
              <w:t>15,0x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17"/>
              </w:rPr>
              <w:t>4,1x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17"/>
              </w:rPr>
              <w:t>9,2x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17"/>
              </w:rPr>
              <w:t>10,5x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7"/>
              </w:rPr>
              <w:t>11,4x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 w:val="0"/>
                <w:sz w:val="17"/>
              </w:rPr>
              <w:t>P/B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17"/>
              </w:rPr>
              <w:t>1,92x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17"/>
              </w:rPr>
              <w:t>1,79x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17"/>
              </w:rPr>
              <w:t>1,45x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17"/>
              </w:rPr>
              <w:t>2,51x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17"/>
              </w:rPr>
              <w:t>2,37x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7"/>
              </w:rPr>
              <w:t>2,02x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 w:val="0"/>
                <w:sz w:val="17"/>
              </w:rPr>
              <w:t>FCF yield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17"/>
              </w:rPr>
              <w:t>10,8%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17"/>
              </w:rPr>
              <w:t>10,1%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17"/>
              </w:rPr>
              <w:t>-1,9%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17"/>
              </w:rPr>
              <w:t>12,0%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17"/>
              </w:rPr>
              <w:t>7,1%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7"/>
              </w:rPr>
              <w:t>7,5%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 w:val="0"/>
                <w:sz w:val="17"/>
              </w:rPr>
              <w:t>EV/выручка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17"/>
              </w:rPr>
              <w:t>0,90x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17"/>
              </w:rPr>
              <w:t>0,77x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17"/>
              </w:rPr>
              <w:t>0,70x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17"/>
              </w:rPr>
              <w:t>0,92x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17"/>
              </w:rPr>
              <w:t>0,95x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7"/>
              </w:rPr>
              <w:t>0,82x</w:t>
            </w:r>
          </w:p>
        </w:tc>
      </w:tr>
    </w:tbl>
    <w:p>
      <w:pPr>
        <w:spacing w:after="80"/>
      </w:pPr>
      <w:r>
        <w:rPr>
          <w:b w:val="0"/>
          <w:i/>
          <w:color w:val="52514E"/>
          <w:sz w:val="16"/>
        </w:rPr>
        <w:t>Источник: лист Multiples; цены на конец года (Yahoo Finance), EBITDAR = скорр. EBITDA + аренда самолётов; текущий — цена 13.10.2026 и TTM 2К26.</w:t>
      </w:r>
    </w:p>
    <w:p>
      <w:pPr>
        <w:spacing w:after="80"/>
      </w:pPr>
      <w:r>
        <w:rPr>
          <w:b w:val="0"/>
          <w:i w:val="0"/>
        </w:rPr>
        <w:t>Против собственной истории UAL не дешёвая: EV/EBITDAR 6,7x — у верхней границы диапазона 4,6–6,7x. Но TTM EBITDAR занижен топливом. На нормализованной прибыли (средняя маржа цикла 8,6% × выручка 2027E) EPS = $12,97, и P/E = 8,0x против медианы истории 9,2x — это дешевле. Оценка по медиане истории EV/EBITDAR × EBITDAR 2027E — $114, по нормализованному P/E — $119.</w:t>
      </w:r>
    </w:p>
    <w:p>
      <w:pPr>
        <w:pStyle w:val="Heading2"/>
      </w:pPr>
      <w:r>
        <w:t>Нормализация</w:t>
      </w:r>
    </w:p>
    <w:p>
      <w:pPr>
        <w:spacing w:after="80"/>
      </w:pPr>
      <w:r>
        <w:rPr>
          <w:b w:val="0"/>
          <w:i w:val="0"/>
        </w:rPr>
        <w:t>[О] Средняя скорр. опер. маржа через цикл (2019, 2022–2025, без пандемийных 2020–2021) — 8,6%; без слабого 2022 — 9,4%. В базовом сценарии маржа восстанавливается с 4,6% (2026E) до 8,5% (2032E), то есть до средней за цикл, а не до пика. Прогноз не лучше истории.</w:t>
      </w:r>
    </w:p>
    <w:p>
      <w:pPr>
        <w:pStyle w:val="Heading2"/>
      </w:pPr>
      <w:r>
        <w:t>DCF (FCFF)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2154"/>
            <w:shd w:val="clear" w:color="auto" w:fill="D9E1F2"/>
          </w:tcPr>
          <w:p>
            <w:r/>
            <w:r>
              <w:rPr>
                <w:b/>
                <w:sz w:val="16"/>
              </w:rPr>
              <w:t>Допущение (база)</w:t>
            </w:r>
          </w:p>
        </w:tc>
        <w:tc>
          <w:tcPr>
            <w:tcW w:type="dxa" w:w="1020"/>
            <w:shd w:val="clear" w:color="auto" w:fill="D9E1F2"/>
          </w:tcPr>
          <w:p>
            <w:r/>
            <w:r>
              <w:rPr>
                <w:b/>
                <w:sz w:val="16"/>
              </w:rPr>
              <w:t>2026E</w:t>
            </w:r>
          </w:p>
        </w:tc>
        <w:tc>
          <w:tcPr>
            <w:tcW w:type="dxa" w:w="1020"/>
            <w:shd w:val="clear" w:color="auto" w:fill="D9E1F2"/>
          </w:tcPr>
          <w:p>
            <w:r/>
            <w:r>
              <w:rPr>
                <w:b/>
                <w:sz w:val="16"/>
              </w:rPr>
              <w:t>2027E</w:t>
            </w:r>
          </w:p>
        </w:tc>
        <w:tc>
          <w:tcPr>
            <w:tcW w:type="dxa" w:w="1020"/>
            <w:shd w:val="clear" w:color="auto" w:fill="D9E1F2"/>
          </w:tcPr>
          <w:p>
            <w:r/>
            <w:r>
              <w:rPr>
                <w:b/>
                <w:sz w:val="16"/>
              </w:rPr>
              <w:t>2028E</w:t>
            </w:r>
          </w:p>
        </w:tc>
        <w:tc>
          <w:tcPr>
            <w:tcW w:type="dxa" w:w="1020"/>
            <w:shd w:val="clear" w:color="auto" w:fill="D9E1F2"/>
          </w:tcPr>
          <w:p>
            <w:r/>
            <w:r>
              <w:rPr>
                <w:b/>
                <w:sz w:val="16"/>
              </w:rPr>
              <w:t>2029E</w:t>
            </w:r>
          </w:p>
        </w:tc>
        <w:tc>
          <w:tcPr>
            <w:tcW w:type="dxa" w:w="1020"/>
            <w:shd w:val="clear" w:color="auto" w:fill="D9E1F2"/>
          </w:tcPr>
          <w:p>
            <w:r/>
            <w:r>
              <w:rPr>
                <w:b/>
                <w:sz w:val="16"/>
              </w:rPr>
              <w:t>2030E</w:t>
            </w:r>
          </w:p>
        </w:tc>
        <w:tc>
          <w:tcPr>
            <w:tcW w:type="dxa" w:w="1020"/>
            <w:shd w:val="clear" w:color="auto" w:fill="D9E1F2"/>
          </w:tcPr>
          <w:p>
            <w:r/>
            <w:r>
              <w:rPr>
                <w:b/>
                <w:sz w:val="16"/>
              </w:rPr>
              <w:t>2031E</w:t>
            </w:r>
          </w:p>
        </w:tc>
        <w:tc>
          <w:tcPr>
            <w:tcW w:type="dxa" w:w="1020"/>
            <w:shd w:val="clear" w:color="auto" w:fill="D9E1F2"/>
          </w:tcPr>
          <w:p>
            <w:r/>
            <w:r>
              <w:rPr>
                <w:b/>
                <w:sz w:val="16"/>
              </w:rPr>
              <w:t>2032E</w:t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sz w:val="16"/>
              </w:rPr>
              <w:t>Рост ASM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6"/>
              </w:rPr>
              <w:t>2,5%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6"/>
              </w:rPr>
              <w:t>4,0%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6"/>
              </w:rPr>
              <w:t>5,0%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6"/>
              </w:rPr>
              <w:t>5,0%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6"/>
              </w:rPr>
              <w:t>4,5%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6"/>
              </w:rPr>
              <w:t>4,0%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6"/>
              </w:rPr>
              <w:t>3,5%</w:t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sz w:val="16"/>
              </w:rPr>
              <w:t>Базовый рост TRASM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6"/>
              </w:rPr>
              <w:t>2,5%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6"/>
              </w:rPr>
              <w:t>2,0%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6"/>
              </w:rPr>
              <w:t>2,5%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6"/>
              </w:rPr>
              <w:t>2,5%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6"/>
              </w:rPr>
              <w:t>2,5%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6"/>
              </w:rPr>
              <w:t>2,5%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6"/>
              </w:rPr>
              <w:t>2,5%</w:t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sz w:val="16"/>
              </w:rPr>
              <w:t>Перенос топлива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6"/>
              </w:rPr>
              <w:t>80%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6"/>
              </w:rPr>
              <w:t>75%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6"/>
              </w:rPr>
              <w:t>100%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6"/>
              </w:rPr>
              <w:t>100%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6"/>
              </w:rPr>
              <w:t>100%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6"/>
              </w:rPr>
              <w:t>100%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6"/>
              </w:rPr>
              <w:t>100%</w:t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sz w:val="16"/>
              </w:rPr>
              <w:t>Рост CASM-ex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6"/>
              </w:rPr>
              <w:t>5,5%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6"/>
              </w:rPr>
              <w:t>2,5%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6"/>
              </w:rPr>
              <w:t>2,0%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6"/>
              </w:rPr>
              <w:t>2,3%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6"/>
              </w:rPr>
              <w:t>2,7%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6"/>
              </w:rPr>
              <w:t>2,7%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6"/>
              </w:rPr>
              <w:t>2,7%</w:t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sz w:val="16"/>
              </w:rPr>
              <w:t>Топливо, $/галл.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6"/>
              </w:rPr>
              <w:t>3,97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6"/>
              </w:rPr>
              <w:t>3,30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6"/>
              </w:rPr>
              <w:t>3,00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6"/>
              </w:rPr>
              <w:t>2,90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6"/>
              </w:rPr>
              <w:t>2,90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6"/>
              </w:rPr>
              <w:t>2,95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6"/>
              </w:rPr>
              <w:t>3,00</w:t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sz w:val="16"/>
              </w:rPr>
              <w:t>Капзатраты, % выручки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6"/>
              </w:rPr>
              <w:t>11,1%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6"/>
              </w:rPr>
              <w:t>11,5%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6"/>
              </w:rPr>
              <w:t>12,0%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6"/>
              </w:rPr>
              <w:t>12,0%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6"/>
              </w:rPr>
              <w:t>11,0%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6"/>
              </w:rPr>
              <w:t>10,5%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6"/>
              </w:rPr>
              <w:t>10,0%</w:t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sz w:val="16"/>
              </w:rPr>
              <w:t>Выручка, $ млрд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6"/>
              </w:rPr>
              <w:t>67,8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6"/>
              </w:rPr>
              <w:t>69,3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6"/>
              </w:rPr>
              <w:t>72,9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6"/>
              </w:rPr>
              <w:t>77,7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6"/>
              </w:rPr>
              <w:t>83,1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6"/>
              </w:rPr>
              <w:t>88,7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6"/>
              </w:rPr>
              <w:t>94,2</w:t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sz w:val="16"/>
              </w:rPr>
              <w:t>TRASM, центы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6"/>
              </w:rPr>
              <w:t>20,01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6"/>
              </w:rPr>
              <w:t>19,68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6"/>
              </w:rPr>
              <w:t>19,71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6"/>
              </w:rPr>
              <w:t>20,03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6"/>
              </w:rPr>
              <w:t>20,49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6"/>
              </w:rPr>
              <w:t>21,03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6"/>
              </w:rPr>
              <w:t>21,58</w:t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sz w:val="16"/>
              </w:rPr>
              <w:t>Скорр. опер. маржа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6"/>
              </w:rPr>
              <w:t>4,6%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6"/>
              </w:rPr>
              <w:t>6,1%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6"/>
              </w:rPr>
              <w:t>7,0%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6"/>
              </w:rPr>
              <w:t>7,7%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6"/>
              </w:rPr>
              <w:t>8,0%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6"/>
              </w:rPr>
              <w:t>8,3%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6"/>
              </w:rPr>
              <w:t>8,5%</w:t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sz w:val="16"/>
              </w:rPr>
              <w:t>EPS скорр., $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6"/>
              </w:rPr>
              <w:t>6,09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6"/>
              </w:rPr>
              <w:t>8,71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6"/>
              </w:rPr>
              <w:t>10,91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6"/>
              </w:rPr>
              <w:t>12,91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6"/>
              </w:rPr>
              <w:t>14,52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6"/>
              </w:rPr>
              <w:t>16,17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6"/>
              </w:rPr>
              <w:t>17,86</w:t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sz w:val="16"/>
              </w:rPr>
              <w:t>FCFF, $ млрд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6"/>
              </w:rPr>
              <w:t>-0,59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6"/>
              </w:rPr>
              <w:t>-0,84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6"/>
              </w:rPr>
              <w:t>-0,50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6"/>
              </w:rPr>
              <w:t>-0,05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6"/>
              </w:rPr>
              <w:t>0,99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6"/>
              </w:rPr>
              <w:t>1,67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6"/>
              </w:rPr>
              <w:t>2,38</w:t>
            </w:r>
          </w:p>
        </w:tc>
      </w:tr>
    </w:tbl>
    <w:p>
      <w:pPr>
        <w:spacing w:after="80"/>
      </w:pPr>
      <w:r>
        <w:rPr>
          <w:b w:val="0"/>
          <w:i/>
          <w:color w:val="52514E"/>
          <w:sz w:val="16"/>
        </w:rPr>
        <w:t>Источник: листы Assumptions и DCF; допущения [Д], расчёт [О].</w:t>
      </w:r>
    </w:p>
    <w:p>
      <w:pPr>
        <w:spacing w:after="80"/>
      </w:pPr>
      <w:r>
        <w:rPr>
          <w:b w:val="0"/>
          <w:i w:val="0"/>
        </w:rPr>
        <w:t>Механика: выручка = ASM × TRASM. TRASM(t) = TRASM(t−1) × (1 + базовый рост) + доля переноса × изменение топлива на ASM — так рост цены топлива связан с тарифом. Расходы = CASM-ex × ASM + топливо (галлоны/ASM × цена) + сторонние услуги + участие в прибыли (12% EBIT). FCFF = NOPAT + D&amp;A − скорр. капзатраты + приток оборотного капитала (10% прироста выручки). Аренда: операционная аренда включена в долг и EV, а её процентная часть (6,5% × обязательство) возвращена в NOPAT, чтобы не учесть её дважды. Налог — 22%; щит NOL ($2,3 млрд в налоговом выражении) добавлен отдельно как $2,0 млрд PV. Дата оценки — 30.06.2026, середина периода; из FCFF 2026E вычтен фактический FCFF 1П26 ($3,4 млрд).</w:t>
      </w:r>
    </w:p>
    <w:p>
      <w:pPr>
        <w:spacing w:after="80"/>
      </w:pPr>
      <w:r>
        <w:rPr>
          <w:b w:val="0"/>
          <w:i w:val="0"/>
        </w:rPr>
        <w:t>WACC = 8,5%: Rf 5,24% (UST10 на 09.10.2026), β 1,36 (60 мес., против S&amp;P 500; по Блюму — 1,24), ERP 5,0% [Д] → Ke 12,0%. Kd 6,5% до налога [Д: UST10 + ~1,25 п.п. спред BB+; ноты 2031 размещены под 5,375% при UST10 4,29%] → 5,07% после налога. Веса по рынку: капитал $33,7 млрд, скорр. долг с арендой и пенсиями $34,7 млрд (51%).</w:t>
      </w:r>
    </w:p>
    <w:p>
      <w:pPr>
        <w:spacing w:after="80"/>
      </w:pPr>
      <w:r>
        <w:rPr>
          <w:b w:val="0"/>
          <w:i w:val="0"/>
        </w:rPr>
        <w:t>Терминальная стоимость двумя способами. (1) Гордон: g = 2,5%, RONIC 10% → TV = NOPAT × (1 + g) × (1 − g/RONIC)/(WACC − g); подразумеваемый EV/EBITDAR = 6,2x. (2) Выходной мультипликатор: медиана истории UAL 6,2x (в пессимистичном — минимум 4,6x, в оптимистичном — максимум 6,7x). Результаты базы: $100,17 (Гордон) и $101,75 (мультипликатор), среднее $100,96. Доля TV в EV — 104%: FCFF отрицателен до 2029 из-за капзатрат.</w:t>
      </w:r>
    </w:p>
    <w:p>
      <w:pPr>
        <w:pStyle w:val="Heading2"/>
      </w:pPr>
      <w:r>
        <w:t>Reverse DCF</w:t>
      </w:r>
    </w:p>
    <w:p>
      <w:pPr>
        <w:spacing w:after="80"/>
      </w:pPr>
      <w:r>
        <w:rPr>
          <w:b w:val="0"/>
          <w:i w:val="0"/>
        </w:rPr>
        <w:t>[О] При цене $103,23 модель подразумевает поправку к базовому росту TRASM +0,02% в год, то есть операционную маржу 2032E 8,6% (средняя за цикл — 8,6%), и WACC 8,4% (наш — 8,5%). Рынок закладывает ровно возврат к средней марже цикла — реалистично, но без запаса. Каждые +0,5 п.п. роста TRASM в год сверх базы добавляют ~$50 на акцию (лист ReverseDCF).</w:t>
      </w:r>
    </w:p>
    <w:p>
      <w:pPr>
        <w:pStyle w:val="Heading2"/>
      </w:pPr>
      <w:r>
        <w:t>Сценарии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701"/>
            <w:shd w:val="clear" w:color="auto" w:fill="D9E1F2"/>
          </w:tcPr>
          <w:p>
            <w:r/>
            <w:r>
              <w:rPr>
                <w:b/>
                <w:sz w:val="17"/>
              </w:rPr>
            </w:r>
          </w:p>
        </w:tc>
        <w:tc>
          <w:tcPr>
            <w:tcW w:type="dxa" w:w="2041"/>
            <w:shd w:val="clear" w:color="auto" w:fill="D9E1F2"/>
          </w:tcPr>
          <w:p>
            <w:r/>
            <w:r>
              <w:rPr>
                <w:b/>
                <w:sz w:val="17"/>
              </w:rPr>
              <w:t>Пессимистичный</w:t>
            </w:r>
          </w:p>
        </w:tc>
        <w:tc>
          <w:tcPr>
            <w:tcW w:type="dxa" w:w="2041"/>
            <w:shd w:val="clear" w:color="auto" w:fill="D9E1F2"/>
          </w:tcPr>
          <w:p>
            <w:r/>
            <w:r>
              <w:rPr>
                <w:b/>
                <w:sz w:val="17"/>
              </w:rPr>
              <w:t>Базовый</w:t>
            </w:r>
          </w:p>
        </w:tc>
        <w:tc>
          <w:tcPr>
            <w:tcW w:type="dxa" w:w="2041"/>
            <w:shd w:val="clear" w:color="auto" w:fill="D9E1F2"/>
          </w:tcPr>
          <w:p>
            <w:r/>
            <w:r>
              <w:rPr>
                <w:b/>
                <w:sz w:val="17"/>
              </w:rPr>
              <w:t>Оптимистичный</w:t>
            </w:r>
          </w:p>
        </w:tc>
        <w:tc>
          <w:tcPr>
            <w:tcW w:type="dxa" w:w="1361"/>
            <w:shd w:val="clear" w:color="auto" w:fill="D9E1F2"/>
          </w:tcPr>
          <w:p>
            <w:r/>
            <w:r>
              <w:rPr>
                <w:b/>
                <w:sz w:val="17"/>
              </w:rPr>
              <w:t>Взвешенно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7"/>
              </w:rPr>
              <w:t>Описание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sz w:val="17"/>
              </w:rPr>
              <w:t>Рецессия 2027 (базовый TRASM −5%, ASM −2%), топливо $4,10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sz w:val="17"/>
              </w:rPr>
              <w:t>Нефть по EIA ($3,30 в 2027), маржа к средней за цикл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sz w:val="17"/>
              </w:rPr>
              <w:t>Премиальный спрос, топливо $2,90, маржа ~11–12%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7"/>
              </w:rPr>
              <w:t>Вероятность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sz w:val="17"/>
              </w:rPr>
              <w:t>25%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sz w:val="17"/>
              </w:rPr>
              <w:t>50%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sz w:val="17"/>
              </w:rPr>
              <w:t>25%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sz w:val="17"/>
              </w:rPr>
              <w:t>100%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7"/>
              </w:rPr>
              <w:t>EPS 2027E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sz w:val="17"/>
              </w:rPr>
              <w:t>−$5,06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sz w:val="17"/>
              </w:rPr>
              <w:t>$8,71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sz w:val="17"/>
              </w:rPr>
              <w:t>$14,30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7"/>
              </w:rPr>
              <w:t>Маржа 2032E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sz w:val="17"/>
              </w:rPr>
              <w:t>7,0%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sz w:val="17"/>
              </w:rPr>
              <w:t>8,5%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sz w:val="17"/>
              </w:rPr>
              <w:t>11,7%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7"/>
              </w:rPr>
              <w:t>Стоимость акции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sz w:val="17"/>
              </w:rPr>
              <w:t>$35,42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sz w:val="17"/>
              </w:rPr>
              <w:t>$100,96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sz w:val="17"/>
              </w:rPr>
              <w:t>$199,86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sz w:val="17"/>
              </w:rPr>
              <w:t>$109,30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7"/>
              </w:rPr>
              <w:t>Потенциал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sz w:val="17"/>
              </w:rPr>
              <w:t>−66%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sz w:val="17"/>
              </w:rPr>
              <w:t>−2%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sz w:val="17"/>
              </w:rPr>
              <w:t>+94%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sz w:val="17"/>
              </w:rPr>
              <w:t>+6%</w:t>
            </w:r>
          </w:p>
        </w:tc>
      </w:tr>
    </w:tbl>
    <w:p>
      <w:pPr>
        <w:spacing w:after="80"/>
      </w:pPr>
      <w:r>
        <w:rPr>
          <w:b w:val="0"/>
          <w:i/>
          <w:color w:val="52514E"/>
          <w:sz w:val="16"/>
        </w:rPr>
        <w:t>Источник: лист Scenarios.</w:t>
      </w:r>
    </w:p>
    <w:p>
      <w:r>
        <w:drawing>
          <wp:inline xmlns:a="http://schemas.openxmlformats.org/drawingml/2006/main" xmlns:pic="http://schemas.openxmlformats.org/drawingml/2006/picture">
            <wp:extent cx="5760000" cy="298164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f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9816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b w:val="0"/>
          <w:i/>
          <w:color w:val="52514E"/>
          <w:sz w:val="16"/>
        </w:rPr>
        <w:t>Источник: UAL_model.xlsx.</w:t>
      </w:r>
    </w:p>
    <w:p>
      <w:pPr>
        <w:spacing w:after="80"/>
      </w:pPr>
      <w:r>
        <w:rPr>
          <w:b w:val="0"/>
          <w:i w:val="0"/>
        </w:rPr>
        <w:t>Целевая цена = взвешенная DCF, округлённая до $109. Диапазон $101–119 = минимум и максимум из трёх методов (DCF база, медиана истории EV/EBITDAR × EBITDAR 2027E, нормализованный P/E). Цель не переносится на 12 месяцев вперёд по Ke — это консервативно: с переносом было бы $122.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D9E1F2"/>
          </w:tcPr>
          <w:p>
            <w:r/>
            <w:r>
              <w:rPr>
                <w:b/>
                <w:sz w:val="17"/>
              </w:rPr>
              <w:t>WACC \ g</w:t>
            </w:r>
          </w:p>
        </w:tc>
        <w:tc>
          <w:tcPr>
            <w:tcW w:type="dxa" w:w="1361"/>
            <w:shd w:val="clear" w:color="auto" w:fill="D9E1F2"/>
          </w:tcPr>
          <w:p>
            <w:r/>
            <w:r>
              <w:rPr>
                <w:b/>
                <w:sz w:val="17"/>
              </w:rPr>
              <w:t>1,5%</w:t>
            </w:r>
          </w:p>
        </w:tc>
        <w:tc>
          <w:tcPr>
            <w:tcW w:type="dxa" w:w="1361"/>
            <w:shd w:val="clear" w:color="auto" w:fill="D9E1F2"/>
          </w:tcPr>
          <w:p>
            <w:r/>
            <w:r>
              <w:rPr>
                <w:b/>
                <w:sz w:val="17"/>
              </w:rPr>
              <w:t>2,0%</w:t>
            </w:r>
          </w:p>
        </w:tc>
        <w:tc>
          <w:tcPr>
            <w:tcW w:type="dxa" w:w="1361"/>
            <w:shd w:val="clear" w:color="auto" w:fill="D9E1F2"/>
          </w:tcPr>
          <w:p>
            <w:r/>
            <w:r>
              <w:rPr>
                <w:b/>
                <w:sz w:val="17"/>
              </w:rPr>
              <w:t>2,5%</w:t>
            </w:r>
          </w:p>
        </w:tc>
        <w:tc>
          <w:tcPr>
            <w:tcW w:type="dxa" w:w="1361"/>
            <w:shd w:val="clear" w:color="auto" w:fill="D9E1F2"/>
          </w:tcPr>
          <w:p>
            <w:r/>
            <w:r>
              <w:rPr>
                <w:b/>
                <w:sz w:val="17"/>
              </w:rPr>
              <w:t>3,0%</w:t>
            </w:r>
          </w:p>
        </w:tc>
        <w:tc>
          <w:tcPr>
            <w:tcW w:type="dxa" w:w="1361"/>
            <w:shd w:val="clear" w:color="auto" w:fill="D9E1F2"/>
          </w:tcPr>
          <w:p>
            <w:r/>
            <w:r>
              <w:rPr>
                <w:b/>
                <w:sz w:val="17"/>
              </w:rPr>
              <w:t>3,5%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7"/>
              </w:rPr>
              <w:t>7,5%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sz w:val="17"/>
              </w:rPr>
              <w:t>$131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sz w:val="17"/>
              </w:rPr>
              <w:t>$136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sz w:val="17"/>
              </w:rPr>
              <w:t>$143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sz w:val="17"/>
              </w:rPr>
              <w:t>$152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sz w:val="17"/>
              </w:rPr>
              <w:t>$162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7"/>
              </w:rPr>
              <w:t>8,0%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sz w:val="17"/>
              </w:rPr>
              <w:t>$111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sz w:val="17"/>
              </w:rPr>
              <w:t>$115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sz w:val="17"/>
              </w:rPr>
              <w:t>$120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sz w:val="17"/>
              </w:rPr>
              <w:t>$125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sz w:val="17"/>
              </w:rPr>
              <w:t>$132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7"/>
              </w:rPr>
              <w:t>8,5%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sz w:val="17"/>
              </w:rPr>
              <w:t>$94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sz w:val="17"/>
              </w:rPr>
              <w:t>$97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sz w:val="17"/>
              </w:rPr>
              <w:t>$100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sz w:val="17"/>
              </w:rPr>
              <w:t>$104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sz w:val="17"/>
              </w:rPr>
              <w:t>$108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7"/>
              </w:rPr>
              <w:t>9,0%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sz w:val="17"/>
              </w:rPr>
              <w:t>$80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sz w:val="17"/>
              </w:rPr>
              <w:t>$82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sz w:val="17"/>
              </w:rPr>
              <w:t>$84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sz w:val="17"/>
              </w:rPr>
              <w:t>$86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sz w:val="17"/>
              </w:rPr>
              <w:t>$89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7"/>
              </w:rPr>
              <w:t>9,5%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sz w:val="17"/>
              </w:rPr>
              <w:t>$68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sz w:val="17"/>
              </w:rPr>
              <w:t>$69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sz w:val="17"/>
              </w:rPr>
              <w:t>$70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sz w:val="17"/>
              </w:rPr>
              <w:t>$71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sz w:val="17"/>
              </w:rPr>
              <w:t>$73</w:t>
            </w:r>
          </w:p>
        </w:tc>
      </w:tr>
    </w:tbl>
    <w:p>
      <w:pPr>
        <w:spacing w:after="80"/>
      </w:pPr>
      <w:r>
        <w:rPr>
          <w:b w:val="0"/>
          <w:i/>
          <w:color w:val="52514E"/>
          <w:sz w:val="16"/>
        </w:rPr>
        <w:t>Источник: лист Sensitivity: стоимость акции, метод Гордона, базовый сценарий.</w:t>
      </w:r>
    </w:p>
    <w:p>
      <w:pPr>
        <w:pStyle w:val="Heading1"/>
      </w:pPr>
      <w:r>
        <w:t>4. Риски и катализаторы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3061"/>
            <w:shd w:val="clear" w:color="auto" w:fill="D9E1F2"/>
          </w:tcPr>
          <w:p>
            <w:r/>
            <w:r>
              <w:rPr>
                <w:b/>
                <w:sz w:val="17"/>
              </w:rPr>
              <w:t>Риск</w:t>
            </w:r>
          </w:p>
        </w:tc>
        <w:tc>
          <w:tcPr>
            <w:tcW w:type="dxa" w:w="1020"/>
            <w:shd w:val="clear" w:color="auto" w:fill="D9E1F2"/>
          </w:tcPr>
          <w:p>
            <w:r/>
            <w:r>
              <w:rPr>
                <w:b/>
                <w:sz w:val="17"/>
              </w:rPr>
              <w:t>Вероятн.</w:t>
            </w:r>
          </w:p>
        </w:tc>
        <w:tc>
          <w:tcPr>
            <w:tcW w:type="dxa" w:w="1020"/>
            <w:shd w:val="clear" w:color="auto" w:fill="D9E1F2"/>
          </w:tcPr>
          <w:p>
            <w:r/>
            <w:r>
              <w:rPr>
                <w:b/>
                <w:sz w:val="17"/>
              </w:rPr>
              <w:t>Влияние</w:t>
            </w:r>
          </w:p>
        </w:tc>
        <w:tc>
          <w:tcPr>
            <w:tcW w:type="dxa" w:w="3969"/>
            <w:shd w:val="clear" w:color="auto" w:fill="D9E1F2"/>
          </w:tcPr>
          <w:p>
            <w:r/>
            <w:r>
              <w:rPr>
                <w:b/>
                <w:sz w:val="17"/>
              </w:rPr>
              <w:t>Что отслеживать / порог</w:t>
            </w:r>
          </w:p>
        </w:tc>
      </w:tr>
      <w:tr>
        <w:tc>
          <w:tcPr>
            <w:tcW w:type="dxa" w:w="3061"/>
          </w:tcPr>
          <w:p>
            <w:r/>
            <w:r>
              <w:rPr>
                <w:b w:val="0"/>
                <w:sz w:val="17"/>
              </w:rPr>
              <w:t>Топливо и Ближний Восток (Brent $125 в начале окт.)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7"/>
              </w:rPr>
              <w:t>Высокая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7"/>
              </w:rPr>
              <w:t>Высокое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sz w:val="17"/>
              </w:rPr>
              <w:t>Спот Gulf Coast &gt;$4,50 устойчиво → пересмотр в Sell</w:t>
            </w:r>
          </w:p>
        </w:tc>
      </w:tr>
      <w:tr>
        <w:tc>
          <w:tcPr>
            <w:tcW w:type="dxa" w:w="3061"/>
          </w:tcPr>
          <w:p>
            <w:r/>
            <w:r>
              <w:rPr>
                <w:b w:val="0"/>
                <w:sz w:val="17"/>
              </w:rPr>
              <w:t>Рецессия США (UST10 5,2%, нефтяной шок)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7"/>
              </w:rPr>
              <w:t>Средняя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7"/>
              </w:rPr>
              <w:t>Высокое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sz w:val="17"/>
              </w:rPr>
              <w:t>TRASM г/г ниже +5% в 4К26 / отрицательный в 2027</w:t>
            </w:r>
          </w:p>
        </w:tc>
      </w:tr>
      <w:tr>
        <w:tc>
          <w:tcPr>
            <w:tcW w:type="dxa" w:w="3061"/>
          </w:tcPr>
          <w:p>
            <w:r/>
            <w:r>
              <w:rPr>
                <w:b w:val="0"/>
                <w:sz w:val="17"/>
              </w:rPr>
              <w:t>Задержки Boeing (MAX 10 не сертифицирован)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7"/>
              </w:rPr>
              <w:t>Высокая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7"/>
              </w:rPr>
              <w:t>Среднее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sz w:val="17"/>
              </w:rPr>
              <w:t>Поставки 787 в 2027 &lt; 20; капзатраты сдвигаются, рост ASM ниже</w:t>
            </w:r>
          </w:p>
        </w:tc>
      </w:tr>
      <w:tr>
        <w:tc>
          <w:tcPr>
            <w:tcW w:type="dxa" w:w="3061"/>
          </w:tcPr>
          <w:p>
            <w:r/>
            <w:r>
              <w:rPr>
                <w:b w:val="0"/>
                <w:sz w:val="17"/>
              </w:rPr>
              <w:t>Труд: IAM, IBT открыты; пилоты — окт. 2027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7"/>
              </w:rPr>
              <w:t>Средняя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7"/>
              </w:rPr>
              <w:t>Среднее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sz w:val="17"/>
              </w:rPr>
              <w:t>CASM-ex 2027 &gt; +4% г/г</w:t>
            </w:r>
          </w:p>
        </w:tc>
      </w:tr>
      <w:tr>
        <w:tc>
          <w:tcPr>
            <w:tcW w:type="dxa" w:w="3061"/>
          </w:tcPr>
          <w:p>
            <w:r/>
            <w:r>
              <w:rPr>
                <w:b w:val="0"/>
                <w:sz w:val="17"/>
              </w:rPr>
              <w:t>FAA и инфраструктура (лимит ORD, ATC, Newark)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7"/>
              </w:rPr>
              <w:t>Средняя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7"/>
              </w:rPr>
              <w:t>Среднее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sz w:val="17"/>
              </w:rPr>
              <w:t>Продление ограничений FAA на хабах</w:t>
            </w:r>
          </w:p>
        </w:tc>
      </w:tr>
      <w:tr>
        <w:tc>
          <w:tcPr>
            <w:tcW w:type="dxa" w:w="3061"/>
          </w:tcPr>
          <w:p>
            <w:r/>
            <w:r>
              <w:rPr>
                <w:b w:val="0"/>
                <w:sz w:val="17"/>
              </w:rPr>
              <w:t>Геополитика на международных маршрутах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7"/>
              </w:rPr>
              <w:t>Средняя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7"/>
              </w:rPr>
              <w:t>Среднее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sz w:val="17"/>
              </w:rPr>
              <w:t>Доля МБВ/Индии/Африки уже −34% ASM в 2К26</w:t>
            </w:r>
          </w:p>
        </w:tc>
      </w:tr>
      <w:tr>
        <w:tc>
          <w:tcPr>
            <w:tcW w:type="dxa" w:w="3061"/>
          </w:tcPr>
          <w:p>
            <w:r/>
            <w:r>
              <w:rPr>
                <w:b w:val="0"/>
                <w:sz w:val="17"/>
              </w:rPr>
              <w:t>Долг и ставки (скорр. долг $34,7 млрд)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7"/>
              </w:rPr>
              <w:t>Низкая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7"/>
              </w:rPr>
              <w:t>Среднее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sz w:val="17"/>
              </w:rPr>
              <w:t>Чистый долг / EBITDAR &gt; 3,0x</w:t>
            </w:r>
          </w:p>
        </w:tc>
      </w:tr>
      <w:tr>
        <w:tc>
          <w:tcPr>
            <w:tcW w:type="dxa" w:w="3061"/>
          </w:tcPr>
          <w:p>
            <w:r/>
            <w:r>
              <w:rPr>
                <w:b w:val="0"/>
                <w:sz w:val="17"/>
              </w:rPr>
              <w:t>Конкуренция в премиуме (Delta, AA)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7"/>
              </w:rPr>
              <w:t>Средняя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7"/>
              </w:rPr>
              <w:t>Среднее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sz w:val="17"/>
              </w:rPr>
              <w:t>Рост премиальной выручки UAL ниже DAL 2 кв. подряд</w:t>
            </w:r>
          </w:p>
        </w:tc>
      </w:tr>
    </w:tbl>
    <w:p>
      <w:pPr>
        <w:spacing w:after="80"/>
      </w:pPr>
      <w:r>
        <w:rPr>
          <w:b w:val="0"/>
          <w:i w:val="0"/>
        </w:rPr>
        <w:t>Катализаторы и сроки: отчёт за 3К26 и прогноз на 4К (20–21.10.2026) — проверка переноса топлива и спроса; движение нефти (EIA прогнозирует Brent $105 в 4К26 и $84 в 2027); инвестиционный рейтинг (цель — 2026); A321XLR на международных рейсах (начало 2027); Starlink во всём парке (конец 2027); возобновление выкупа; сертификация MAX 10 (2027).</w:t>
      </w:r>
    </w:p>
    <w:p>
      <w:pPr>
        <w:spacing w:after="80"/>
      </w:pPr>
      <w:r>
        <w:rPr>
          <w:b/>
          <w:i w:val="0"/>
        </w:rPr>
        <w:t>Что сделает рекомендацию неверной:</w:t>
      </w:r>
    </w:p>
    <w:p>
      <w:pPr>
        <w:pStyle w:val="ListBullet"/>
        <w:spacing w:after="40"/>
      </w:pPr>
      <w:r>
        <w:t>Апсайд (надо было покупать): топливо устойчиво ниже $3,00/галл. при сохранении TRASM г/г выше +5% в 1П27 и подтверждение UAL маржи до налога ≥10% на 2027 — это путь оптимистичного сценария (~$200).</w:t>
      </w:r>
    </w:p>
    <w:p>
      <w:pPr>
        <w:pStyle w:val="ListBullet"/>
        <w:spacing w:after="40"/>
      </w:pPr>
      <w:r>
        <w:t>Даунсайд (надо было продавать): Brent выше $110 до весны 2027, TRASM 4К26 ниже +10% г/г, CASM-ex 2027 выше +4%, чистый долг/EBITDAR выше 3,0x — путь к пессимистичному сценарию (~$35).</w:t>
      </w:r>
    </w:p>
    <w:p>
      <w:pPr>
        <w:pStyle w:val="Heading1"/>
      </w:pPr>
      <w:r>
        <w:t>5. Рекомендация</w:t>
      </w:r>
    </w:p>
    <w:p>
      <w:pPr>
        <w:spacing w:after="80"/>
      </w:pPr>
      <w:r>
        <w:rPr>
          <w:b/>
          <w:i w:val="0"/>
        </w:rPr>
        <w:t>HOLD, целевая цена $109 (диапазон $101–119), потенциал +5,6% к цене $103,23 на 13.10.2026, горизонт 12 месяцев.</w:t>
      </w:r>
    </w:p>
    <w:p>
      <w:pPr>
        <w:spacing w:after="80"/>
      </w:pPr>
      <w:r>
        <w:rPr>
          <w:b/>
          <w:i w:val="0"/>
        </w:rPr>
        <w:t>Что отслеживать после рекомендации: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118"/>
            <w:shd w:val="clear" w:color="auto" w:fill="D9E1F2"/>
          </w:tcPr>
          <w:p>
            <w:r/>
            <w:r>
              <w:rPr>
                <w:b/>
                <w:sz w:val="17"/>
              </w:rPr>
              <w:t>Показатель</w:t>
            </w:r>
          </w:p>
        </w:tc>
        <w:tc>
          <w:tcPr>
            <w:tcW w:type="dxa" w:w="2268"/>
            <w:shd w:val="clear" w:color="auto" w:fill="D9E1F2"/>
          </w:tcPr>
          <w:p>
            <w:r/>
            <w:r>
              <w:rPr>
                <w:b/>
                <w:sz w:val="17"/>
              </w:rPr>
              <w:t>Сейчас</w:t>
            </w:r>
          </w:p>
        </w:tc>
        <w:tc>
          <w:tcPr>
            <w:tcW w:type="dxa" w:w="3685"/>
            <w:shd w:val="clear" w:color="auto" w:fill="D9E1F2"/>
          </w:tcPr>
          <w:p>
            <w:r/>
            <w:r>
              <w:rPr>
                <w:b/>
                <w:sz w:val="17"/>
              </w:rPr>
              <w:t>Порог пересмотра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sz w:val="17"/>
              </w:rPr>
              <w:t>Спот jet fuel Gulf Coast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7"/>
              </w:rPr>
              <w:t>$4,34 (06.10.2026)</w:t>
            </w:r>
          </w:p>
        </w:tc>
        <w:tc>
          <w:tcPr>
            <w:tcW w:type="dxa" w:w="3685"/>
          </w:tcPr>
          <w:p>
            <w:r/>
            <w:r>
              <w:rPr>
                <w:b w:val="0"/>
                <w:sz w:val="17"/>
              </w:rPr>
              <w:t>&lt;$3,00 → Buy; &gt;$4,50 → Sell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sz w:val="17"/>
              </w:rPr>
              <w:t>TRASM г/г (4К26)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7"/>
              </w:rPr>
              <w:t>+12,1% (2К26)</w:t>
            </w:r>
          </w:p>
        </w:tc>
        <w:tc>
          <w:tcPr>
            <w:tcW w:type="dxa" w:w="3685"/>
          </w:tcPr>
          <w:p>
            <w:r/>
            <w:r>
              <w:rPr>
                <w:b w:val="0"/>
                <w:sz w:val="17"/>
              </w:rPr>
              <w:t>&lt;+10% → Sell (тариф не покрывает топливо)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sz w:val="17"/>
              </w:rPr>
              <w:t>CASM-ex г/г (прогноз 2027)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7"/>
              </w:rPr>
              <w:t>+6,0% (1П26)</w:t>
            </w:r>
          </w:p>
        </w:tc>
        <w:tc>
          <w:tcPr>
            <w:tcW w:type="dxa" w:w="3685"/>
          </w:tcPr>
          <w:p>
            <w:r/>
            <w:r>
              <w:rPr>
                <w:b w:val="0"/>
                <w:sz w:val="17"/>
              </w:rPr>
              <w:t>&gt;+4% → вниз; &lt;+2% → вверх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sz w:val="17"/>
              </w:rPr>
              <w:t>Скорр. маржа до налога 2027 (прогноз UAL)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7"/>
              </w:rPr>
              <w:t>цель ≥10%</w:t>
            </w:r>
          </w:p>
        </w:tc>
        <w:tc>
          <w:tcPr>
            <w:tcW w:type="dxa" w:w="3685"/>
          </w:tcPr>
          <w:p>
            <w:r/>
            <w:r>
              <w:rPr>
                <w:b w:val="0"/>
                <w:sz w:val="17"/>
              </w:rPr>
              <w:t>Подтверждение ≥10% при топливе &lt;$3,20 → Buy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sz w:val="17"/>
              </w:rPr>
              <w:t>Чистый долг / EBITDAR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7"/>
              </w:rPr>
              <w:t>2,3x</w:t>
            </w:r>
          </w:p>
        </w:tc>
        <w:tc>
          <w:tcPr>
            <w:tcW w:type="dxa" w:w="3685"/>
          </w:tcPr>
          <w:p>
            <w:r/>
            <w:r>
              <w:rPr>
                <w:b w:val="0"/>
                <w:sz w:val="17"/>
              </w:rPr>
              <w:t>&gt;3,0x → Sell; рейтинг IG → вверх</w:t>
            </w:r>
          </w:p>
        </w:tc>
      </w:tr>
    </w:tbl>
    <w:p>
      <w:pPr>
        <w:pStyle w:val="Heading2"/>
      </w:pPr>
      <w:r>
        <w:t>Ограничения анализа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969"/>
            <w:shd w:val="clear" w:color="auto" w:fill="D9E1F2"/>
          </w:tcPr>
          <w:p>
            <w:r/>
            <w:r>
              <w:rPr>
                <w:b/>
                <w:sz w:val="17"/>
              </w:rPr>
              <w:t>Слабое место</w:t>
            </w:r>
          </w:p>
        </w:tc>
        <w:tc>
          <w:tcPr>
            <w:tcW w:type="dxa" w:w="5102"/>
            <w:shd w:val="clear" w:color="auto" w:fill="D9E1F2"/>
          </w:tcPr>
          <w:p>
            <w:r/>
            <w:r>
              <w:rPr>
                <w:b/>
                <w:sz w:val="17"/>
              </w:rPr>
              <w:t>Как влияет на вывод</w:t>
            </w:r>
          </w:p>
        </w:tc>
      </w:tr>
      <w:tr>
        <w:tc>
          <w:tcPr>
            <w:tcW w:type="dxa" w:w="3969"/>
          </w:tcPr>
          <w:p>
            <w:r/>
            <w:r>
              <w:rPr>
                <w:b w:val="0"/>
                <w:sz w:val="17"/>
              </w:rPr>
              <w:t>Терминальная стоимость &gt; 100% EV в базовом DCF: FCFF отрицателен до 2029 из-за капзатрат 11–12% выручки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17"/>
              </w:rPr>
              <w:t>±0,5 п.п. к росту TRASM в год меняют стоимость на ~±$50 → широкий диапазон; это аргумент за Hold, а не за уверенный Buy/Sell</w:t>
            </w:r>
          </w:p>
        </w:tc>
      </w:tr>
      <w:tr>
        <w:tc>
          <w:tcPr>
            <w:tcW w:type="dxa" w:w="3969"/>
          </w:tcPr>
          <w:p>
            <w:r/>
            <w:r>
              <w:rPr>
                <w:b w:val="0"/>
                <w:sz w:val="17"/>
              </w:rPr>
              <w:t>Путь цены топлива и доля переноса в тариф (2П26 $4,39; 2027 $3,30 по EIA)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17"/>
              </w:rPr>
              <w:t>При $3,90 в 2027 EPS 2027E падает с $8,71 до $2,57; отчёт за 3К26 (20.10) может сдвинуть оценку</w:t>
            </w:r>
          </w:p>
        </w:tc>
      </w:tr>
      <w:tr>
        <w:tc>
          <w:tcPr>
            <w:tcW w:type="dxa" w:w="3969"/>
          </w:tcPr>
          <w:p>
            <w:r/>
            <w:r>
              <w:rPr>
                <w:b w:val="0"/>
                <w:sz w:val="17"/>
              </w:rPr>
              <w:t>Данные: 3К26 не вышел; пиры по GAAP со спецстатьями, НПЗ Delta, международные пиры не рассчитаны; доли хабов — вторичный источник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17"/>
              </w:rPr>
              <w:t>Сравнение с пирами только вспомогательное; рекомендация опирается на DCF и историю UAL</w:t>
            </w:r>
          </w:p>
        </w:tc>
      </w:tr>
    </w:tbl>
    <w:p>
      <w:pPr>
        <w:spacing w:after="80"/>
      </w:pPr>
      <w:r>
        <w:rPr>
          <w:b w:val="0"/>
          <w:i w:val="0"/>
          <w:sz w:val="18"/>
        </w:rPr>
        <w:t>Дополнительно: бета 1,36 — сырая; по Блюму 1,24 WACC снижается до ~8,2%, а оценка растёт на ~$10. Консенсус EPS взят с агрегатора (Yahoo Finance) и может быть устаревшим. Скорр. долг за 2019 — оценка по XBRL (пенсии в узком определении). Данные о долях хабов — вторичный источник (BTS через Simple Flying).</w:t>
      </w:r>
    </w:p>
    <w:p>
      <w:pPr>
        <w:pStyle w:val="Heading2"/>
      </w:pPr>
      <w:r>
        <w:t>Источники</w:t>
      </w:r>
    </w:p>
    <w:p>
      <w:pPr>
        <w:pStyle w:val="ListBullet"/>
        <w:spacing w:after="40"/>
      </w:pPr>
      <w:r>
        <w:t>SEC EDGAR: UAL 10-K 2025 (12.02.2026), 10-Q 2К26 (16.07.2026), 8-K с пресс-релизами и Investor Updates 2020–2026; XBRL companyfacts UAL, DAL, AAL, LUV, ALK, JBLU.</w:t>
      </w:r>
    </w:p>
    <w:p>
      <w:pPr>
        <w:pStyle w:val="ListBullet"/>
        <w:spacing w:after="40"/>
      </w:pPr>
      <w:r>
        <w:t>8-K за 2К26: Delta (10.07.2026), American (23.07.2026), Southwest (22.07.2026); Delta — прогноз 09.10.2026 (Reuters/CNBC).</w:t>
      </w:r>
    </w:p>
    <w:p>
      <w:pPr>
        <w:pStyle w:val="ListBullet"/>
        <w:spacing w:after="40"/>
      </w:pPr>
      <w:r>
        <w:t>FRED: DGS10, DJFUELUSGULF, MJFUELUSGULF, DCOILBRENTEU; EIA STEO, октябрь 2026.</w:t>
      </w:r>
    </w:p>
    <w:p>
      <w:pPr>
        <w:pStyle w:val="ListBullet"/>
        <w:spacing w:after="40"/>
      </w:pPr>
      <w:r>
        <w:t>Yahoo Finance chart API: цены на закрытие 13.10.2026 и месячные ряды для беты; консенсус EPS — Yahoo Finance Analysis.</w:t>
      </w:r>
    </w:p>
    <w:p>
      <w:pPr>
        <w:pStyle w:val="ListBullet"/>
        <w:spacing w:after="40"/>
      </w:pPr>
      <w:r>
        <w:t>UAL IR: дата отчёта за 3К26 (20.10.2026); Morgan Stanley Laguna Conference 16.09.2026 (краткое изложение Investing.com).</w:t>
      </w:r>
    </w:p>
    <w:p>
      <w:pPr>
        <w:pStyle w:val="ListBullet"/>
        <w:spacing w:after="40"/>
      </w:pPr>
      <w:r>
        <w:t>Simple Flying (BTS 2024) — доли хабов; The Points Guy — продление договора с Chase до 2029; PIRG «Plane Truth 2026» — пунктуальность.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3864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