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hint="default" w:ascii="Times New Roman" w:hAnsi="Times New Roman" w:cs="Times New Roman"/>
          <w:b/>
          <w:bCs/>
        </w:rPr>
      </w:pPr>
      <w:r>
        <w:rPr>
          <w:rFonts w:hint="default" w:ascii="Times New Roman" w:hAnsi="Times New Roman" w:cs="Times New Roman"/>
          <w:b/>
          <w:bCs/>
        </w:rPr>
        <w:t>Tilt Sensor Integration Overview</w:t>
      </w:r>
    </w:p>
    <w:p>
      <w:pPr>
        <w:pStyle w:val="5"/>
        <w:keepNext w:val="0"/>
        <w:keepLines w:val="0"/>
        <w:widowControl/>
        <w:suppressLineNumbers w:val="0"/>
        <w:spacing w:before="0" w:beforeAutospacing="1" w:after="0" w:afterAutospacing="1"/>
        <w:ind w:left="0" w:right="0"/>
        <w:jc w:val="both"/>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6"/>
          <w:rFonts w:hint="default" w:ascii="Times New Roman" w:hAnsi="Times New Roman" w:cs="Times New Roman"/>
          <w:b w:val="0"/>
          <w:bCs w:val="0"/>
        </w:rPr>
        <w:t>Milesight EM310 Tilt Sensor</w:t>
      </w:r>
      <w:r>
        <w:rPr>
          <w:rFonts w:hint="default" w:ascii="Times New Roman" w:hAnsi="Times New Roman" w:cs="Times New Roman"/>
          <w:b w:val="0"/>
          <w:bCs w:val="0"/>
        </w:rPr>
        <w:t xml:space="preserve"> was integrated into our cloud computing framework to mimic the behavior of an </w:t>
      </w:r>
      <w:r>
        <w:rPr>
          <w:rStyle w:val="6"/>
          <w:rFonts w:hint="default" w:ascii="Times New Roman" w:hAnsi="Times New Roman" w:cs="Times New Roman"/>
          <w:b w:val="0"/>
          <w:bCs w:val="0"/>
        </w:rPr>
        <w:t>MPU6500 Inertial Measurement Unit (IMU)</w:t>
      </w:r>
      <w:r>
        <w:rPr>
          <w:rFonts w:hint="default" w:ascii="Times New Roman" w:hAnsi="Times New Roman" w:cs="Times New Roman"/>
          <w:b w:val="0"/>
          <w:bCs w:val="0"/>
        </w:rPr>
        <w:t xml:space="preserve">, specifically for monitoring the </w:t>
      </w:r>
      <w:r>
        <w:rPr>
          <w:rStyle w:val="6"/>
          <w:rFonts w:hint="default" w:ascii="Times New Roman" w:hAnsi="Times New Roman" w:cs="Times New Roman"/>
          <w:b w:val="0"/>
          <w:bCs w:val="0"/>
        </w:rPr>
        <w:t>heel angle or tilt</w:t>
      </w:r>
      <w:r>
        <w:rPr>
          <w:rFonts w:hint="default" w:ascii="Times New Roman" w:hAnsi="Times New Roman" w:cs="Times New Roman"/>
          <w:b w:val="0"/>
          <w:bCs w:val="0"/>
        </w:rPr>
        <w:t xml:space="preserve"> of a vessel. The initial setup involved simulated device behavior to validate communication and logic flows before engaging the physical sensor. This allowed for streamlined testing and rapid development without dependency on hardware. The EM310 was selected due to its precise tilt detection capabilities and suitability for marine applications, where accurate heel angle measurements are crucial for monitoring vessel stability and safety. Sensor data is transmitted using </w:t>
      </w:r>
      <w:r>
        <w:rPr>
          <w:rStyle w:val="6"/>
          <w:rFonts w:hint="default" w:ascii="Times New Roman" w:hAnsi="Times New Roman" w:cs="Times New Roman"/>
          <w:b w:val="0"/>
          <w:bCs w:val="0"/>
        </w:rPr>
        <w:t>MQTT</w:t>
      </w:r>
      <w:r>
        <w:rPr>
          <w:rFonts w:hint="default" w:ascii="Times New Roman" w:hAnsi="Times New Roman" w:cs="Times New Roman"/>
          <w:b w:val="0"/>
          <w:bCs w:val="0"/>
        </w:rPr>
        <w:t>,</w:t>
      </w:r>
      <w:bookmarkStart w:id="0" w:name="_GoBack"/>
      <w:bookmarkEnd w:id="0"/>
      <w:r>
        <w:rPr>
          <w:rFonts w:hint="default" w:ascii="Times New Roman" w:hAnsi="Times New Roman" w:cs="Times New Roman"/>
          <w:b w:val="0"/>
          <w:bCs w:val="0"/>
        </w:rPr>
        <w:t xml:space="preserve"> a lightweight and reliable messaging protocol that ensures smooth data flow from the sensor to our </w:t>
      </w:r>
      <w:r>
        <w:rPr>
          <w:rStyle w:val="6"/>
          <w:rFonts w:hint="default" w:ascii="Times New Roman" w:hAnsi="Times New Roman" w:cs="Times New Roman"/>
          <w:b w:val="0"/>
          <w:bCs w:val="0"/>
        </w:rPr>
        <w:t>Node-RED-based cloud platform</w:t>
      </w:r>
      <w:r>
        <w:rPr>
          <w:rFonts w:hint="default" w:ascii="Times New Roman" w:hAnsi="Times New Roman" w:cs="Times New Roman"/>
          <w:b w:val="0"/>
          <w:bCs w:val="0"/>
        </w:rPr>
        <w:t xml:space="preserve"> running on </w:t>
      </w:r>
      <w:r>
        <w:rPr>
          <w:rStyle w:val="6"/>
          <w:rFonts w:hint="default" w:ascii="Times New Roman" w:hAnsi="Times New Roman" w:cs="Times New Roman"/>
          <w:b w:val="0"/>
          <w:bCs w:val="0"/>
        </w:rPr>
        <w:t>FlowFuse</w:t>
      </w:r>
      <w:r>
        <w:rPr>
          <w:rFonts w:hint="default" w:ascii="Times New Roman" w:hAnsi="Times New Roman" w:cs="Times New Roman"/>
          <w:b w:val="0"/>
          <w:bCs w:val="0"/>
        </w:rPr>
        <w:t>. When the measured tilt exceeds a set threshold, the system triggers an alarm to indicate a potential safety hazard; otherwise, the alarm remains deactivated.</w:t>
      </w:r>
    </w:p>
    <w:p>
      <w:pPr>
        <w:jc w:val="both"/>
        <w:rPr>
          <w:rFonts w:ascii="Arial" w:hAnsi="Arial" w:cs="Arial"/>
          <w:b/>
          <w:bCs/>
          <w:sz w:val="24"/>
          <w:szCs w:val="24"/>
        </w:rPr>
      </w:pPr>
      <w:r>
        <w:rPr>
          <w:rFonts w:ascii="Arial" w:hAnsi="Arial" w:cs="Arial"/>
          <w:b/>
          <w:bCs/>
          <w:sz w:val="24"/>
          <w:szCs w:val="24"/>
        </w:rPr>
        <w:drawing>
          <wp:inline distT="0" distB="0" distL="0" distR="0">
            <wp:extent cx="5731510" cy="1833880"/>
            <wp:effectExtent l="9525" t="9525" r="12065" b="23495"/>
            <wp:docPr id="1774010341" name="Picture 1" descr="A graph with a couple of rectangular objects&#10;&#10;AI-generated content may be incorrect."/>
            <wp:cNvGraphicFramePr/>
            <a:graphic xmlns:a="http://schemas.openxmlformats.org/drawingml/2006/main">
              <a:graphicData uri="http://schemas.openxmlformats.org/drawingml/2006/picture">
                <pic:pic xmlns:pic="http://schemas.openxmlformats.org/drawingml/2006/picture">
                  <pic:nvPicPr>
                    <pic:cNvPr id="1774010341" name="Picture 1" descr="A graph with a couple of rectangular objects&#10;&#10;AI-generated content may be incorrect."/>
                    <pic:cNvPicPr/>
                  </pic:nvPicPr>
                  <pic:blipFill>
                    <a:blip r:embed="rId4"/>
                    <a:stretch>
                      <a:fillRect/>
                    </a:stretch>
                  </pic:blipFill>
                  <pic:spPr>
                    <a:xfrm>
                      <a:off x="0" y="0"/>
                      <a:ext cx="5731514" cy="1834514"/>
                    </a:xfrm>
                    <a:prstGeom prst="rect">
                      <a:avLst/>
                    </a:prstGeom>
                    <a:noFill/>
                    <a:ln w="9528">
                      <a:solidFill>
                        <a:srgbClr val="000000"/>
                      </a:solidFill>
                      <a:prstDash val="solid"/>
                    </a:ln>
                  </pic:spPr>
                </pic:pic>
              </a:graphicData>
            </a:graphic>
          </wp:inline>
        </w:drawing>
      </w:r>
    </w:p>
    <w:p>
      <w:pPr>
        <w:jc w:val="both"/>
        <w:rPr>
          <w:rFonts w:ascii="Arial" w:hAnsi="Arial" w:cs="Arial"/>
          <w:b/>
          <w:bCs/>
          <w:sz w:val="24"/>
          <w:szCs w:val="24"/>
        </w:rPr>
      </w:pPr>
    </w:p>
    <w:p>
      <w:pPr>
        <w:pStyle w:val="2"/>
        <w:keepNext w:val="0"/>
        <w:keepLines w:val="0"/>
        <w:widowControl/>
        <w:suppressLineNumbers w:val="0"/>
        <w:jc w:val="both"/>
        <w:rPr>
          <w:rFonts w:hint="default" w:ascii="Times New Roman" w:hAnsi="Times New Roman" w:cs="Times New Roman"/>
          <w:b/>
          <w:bCs/>
        </w:rPr>
      </w:pPr>
      <w:r>
        <w:rPr>
          <w:rFonts w:hint="default" w:ascii="Times New Roman" w:hAnsi="Times New Roman" w:cs="Times New Roman"/>
          <w:b/>
          <w:bCs/>
        </w:rPr>
        <w:t>Data Processing and Visualization</w:t>
      </w:r>
    </w:p>
    <w:p>
      <w:pPr>
        <w:pStyle w:val="5"/>
        <w:keepNext w:val="0"/>
        <w:keepLines w:val="0"/>
        <w:widowControl/>
        <w:suppressLineNumbers w:val="0"/>
        <w:spacing w:before="0" w:beforeAutospacing="1" w:after="0" w:afterAutospacing="1"/>
        <w:ind w:left="0" w:right="0"/>
        <w:jc w:val="both"/>
        <w:rPr>
          <w:rFonts w:hint="default" w:ascii="Times New Roman" w:hAnsi="Times New Roman" w:cs="Times New Roman"/>
          <w:b w:val="0"/>
          <w:bCs w:val="0"/>
        </w:rPr>
      </w:pPr>
      <w:r>
        <w:rPr>
          <w:rFonts w:hint="default" w:ascii="Times New Roman" w:hAnsi="Times New Roman" w:cs="Times New Roman"/>
          <w:b w:val="0"/>
          <w:bCs w:val="0"/>
        </w:rPr>
        <w:t xml:space="preserve">As the system transitions from simulation to full </w:t>
      </w:r>
      <w:r>
        <w:rPr>
          <w:rStyle w:val="6"/>
          <w:rFonts w:hint="default" w:ascii="Times New Roman" w:hAnsi="Times New Roman" w:cs="Times New Roman"/>
          <w:b w:val="0"/>
          <w:bCs w:val="0"/>
        </w:rPr>
        <w:t>real-world deployment</w:t>
      </w:r>
      <w:r>
        <w:rPr>
          <w:rFonts w:hint="default" w:ascii="Times New Roman" w:hAnsi="Times New Roman" w:cs="Times New Roman"/>
          <w:b w:val="0"/>
          <w:bCs w:val="0"/>
        </w:rPr>
        <w:t xml:space="preserve">, the </w:t>
      </w:r>
      <w:r>
        <w:rPr>
          <w:rStyle w:val="6"/>
          <w:rFonts w:hint="default" w:ascii="Times New Roman" w:hAnsi="Times New Roman" w:cs="Times New Roman"/>
          <w:b w:val="0"/>
          <w:bCs w:val="0"/>
        </w:rPr>
        <w:t>EM310 Tilt Sensor</w:t>
      </w:r>
      <w:r>
        <w:rPr>
          <w:rFonts w:hint="default" w:ascii="Times New Roman" w:hAnsi="Times New Roman" w:cs="Times New Roman"/>
          <w:b w:val="0"/>
          <w:bCs w:val="0"/>
        </w:rPr>
        <w:t xml:space="preserve"> continuously communicates its data via </w:t>
      </w:r>
      <w:r>
        <w:rPr>
          <w:rStyle w:val="6"/>
          <w:rFonts w:hint="default" w:ascii="Times New Roman" w:hAnsi="Times New Roman" w:cs="Times New Roman"/>
          <w:b w:val="0"/>
          <w:bCs w:val="0"/>
        </w:rPr>
        <w:t>LoRaWAN</w:t>
      </w:r>
      <w:r>
        <w:rPr>
          <w:rFonts w:hint="default" w:ascii="Times New Roman" w:hAnsi="Times New Roman" w:cs="Times New Roman"/>
          <w:b w:val="0"/>
          <w:bCs w:val="0"/>
        </w:rPr>
        <w:t xml:space="preserve">, which is then bridged to </w:t>
      </w:r>
      <w:r>
        <w:rPr>
          <w:rStyle w:val="6"/>
          <w:rFonts w:hint="default" w:ascii="Times New Roman" w:hAnsi="Times New Roman" w:cs="Times New Roman"/>
          <w:b w:val="0"/>
          <w:bCs w:val="0"/>
        </w:rPr>
        <w:t>MQTT</w:t>
      </w:r>
      <w:r>
        <w:rPr>
          <w:rFonts w:hint="default" w:ascii="Times New Roman" w:hAnsi="Times New Roman" w:cs="Times New Roman"/>
          <w:b w:val="0"/>
          <w:bCs w:val="0"/>
        </w:rPr>
        <w:t xml:space="preserve"> for compatibility with our existing Node-RED infrastructure. The data is formatted and published to specific MQTT topics, where </w:t>
      </w:r>
      <w:r>
        <w:rPr>
          <w:rStyle w:val="6"/>
          <w:rFonts w:hint="default" w:ascii="Times New Roman" w:hAnsi="Times New Roman" w:cs="Times New Roman"/>
          <w:b w:val="0"/>
          <w:bCs w:val="0"/>
        </w:rPr>
        <w:t>Node-RED</w:t>
      </w:r>
      <w:r>
        <w:rPr>
          <w:rFonts w:hint="default" w:ascii="Times New Roman" w:hAnsi="Times New Roman" w:cs="Times New Roman"/>
          <w:b w:val="0"/>
          <w:bCs w:val="0"/>
        </w:rPr>
        <w:t xml:space="preserve">, hosted on </w:t>
      </w:r>
      <w:r>
        <w:rPr>
          <w:rStyle w:val="6"/>
          <w:rFonts w:hint="default" w:ascii="Times New Roman" w:hAnsi="Times New Roman" w:cs="Times New Roman"/>
          <w:b w:val="0"/>
          <w:bCs w:val="0"/>
        </w:rPr>
        <w:t>FlowFuse</w:t>
      </w:r>
      <w:r>
        <w:rPr>
          <w:rFonts w:hint="default" w:ascii="Times New Roman" w:hAnsi="Times New Roman" w:cs="Times New Roman"/>
          <w:b w:val="0"/>
          <w:bCs w:val="0"/>
        </w:rPr>
        <w:t xml:space="preserve">, subscribes and processes the live stream. The platform dynamically updates the dashboard to visualize real-time </w:t>
      </w:r>
      <w:r>
        <w:rPr>
          <w:rStyle w:val="6"/>
          <w:rFonts w:hint="default" w:ascii="Times New Roman" w:hAnsi="Times New Roman" w:cs="Times New Roman"/>
          <w:b w:val="0"/>
          <w:bCs w:val="0"/>
        </w:rPr>
        <w:t>heel angle</w:t>
      </w:r>
      <w:r>
        <w:rPr>
          <w:rFonts w:hint="default" w:ascii="Times New Roman" w:hAnsi="Times New Roman" w:cs="Times New Roman"/>
          <w:b w:val="0"/>
          <w:bCs w:val="0"/>
        </w:rPr>
        <w:t xml:space="preserve"> values. When a critical tilt is detected (indicating excessive heeling), Node-RED processes the event and activates a warning signal or visual alert. This real-time monitoring solution supports safer marine navigation and provides a scalable approach to integrating industrial-grade sensors into an IoT-powered vessel management system.</w:t>
      </w:r>
    </w:p>
    <w:p>
      <w:pPr>
        <w:jc w:val="both"/>
        <w:rPr>
          <w:rFonts w:hint="default" w:ascii="Arial" w:hAnsi="Arial" w:cs="Arial"/>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 PL KaitiM Big5">
    <w:panose1 w:val="020B0609010101010101"/>
    <w:charset w:val="88"/>
    <w:family w:val="auto"/>
    <w:pitch w:val="default"/>
    <w:sig w:usb0="00000003" w:usb1="28880000" w:usb2="00000006" w:usb3="00000000" w:csb0="00100000" w:csb1="00000000"/>
  </w:font>
  <w:font w:name="Aptos">
    <w:altName w:val="Droid Sans Fallback"/>
    <w:panose1 w:val="00000000000000000000"/>
    <w:charset w:val="86"/>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C71E6"/>
    <w:rsid w:val="57BC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2025-03-23T23:41:00Z</dcterms:created>
  <dc:creator>bakelbakel</dc:creator>
  <cp:lastModifiedBy>bakelbakel</cp:lastModifiedBy>
  <dcterms:modified xsi:type="dcterms:W3CDTF">2025-03-23T23:42:49Z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