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UDC IIoT Platform</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https://github.com/Bakel-Bakel/udc-iiot</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An Industrial Internet of Things platform developed for industrial data acquisition, processing, and monitoring. The platform uses MQTT-based messaging, OPC-UA integration, and data pipeline components for industrial environments. The ESP32 GPS and SD card job is smaller, but it shares the same data-acquisition pattern: external hardware must be connected, the microcontroller or system must read the data correctly, and the output must be verified. This project is useful proof of experience with device data flow, communication reliability, and practical engineering documentation.</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Python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MQTT</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IIoT</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OPC-UA</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Embedded</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Networking</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Data Pipelines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Industrial Monitoring</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Data Acquisition</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focuses on data acquisition and monitoring, which is close to reading GPS output and confirming SD card logging.</w:t>
      </w:r>
    </w:p>
    <w:p>
      <w:pPr>
        <w:pStyle w:val="ListBullet"/>
        <w:spacing w:after="40" w:before="0"/>
        <w:ind w:left="504" w:hanging="216"/>
      </w:pPr>
      <w:r>
        <w:rPr>
          <w:rFonts w:ascii="Times New Roman" w:hAnsi="Times New Roman" w:eastAsia="Times New Roman"/>
          <w:color w:val="1F1F1F"/>
          <w:sz w:val="21"/>
        </w:rPr>
        <w:t>It shows experience connecting hardware-facing data to a larger system workflow.</w:t>
      </w:r>
    </w:p>
    <w:p>
      <w:pPr>
        <w:pStyle w:val="ListBullet"/>
        <w:spacing w:after="40" w:before="0"/>
        <w:ind w:left="504" w:hanging="216"/>
      </w:pPr>
      <w:r>
        <w:rPr>
          <w:rFonts w:ascii="Times New Roman" w:hAnsi="Times New Roman" w:eastAsia="Times New Roman"/>
          <w:color w:val="1F1F1F"/>
          <w:sz w:val="21"/>
        </w:rPr>
        <w:t>The work required reliable data movement and clear structure, both important when testing microcontroller modules.</w:t>
      </w:r>
    </w:p>
    <w:p>
      <w:pPr>
        <w:pStyle w:val="ListBullet"/>
        <w:spacing w:after="40" w:before="0"/>
        <w:ind w:left="504" w:hanging="216"/>
      </w:pPr>
      <w:r>
        <w:rPr>
          <w:rFonts w:ascii="Times New Roman" w:hAnsi="Times New Roman" w:eastAsia="Times New Roman"/>
          <w:color w:val="1F1F1F"/>
          <w:sz w:val="21"/>
        </w:rPr>
        <w:t>The ESP32 job needs a straightforward proof that external modules can communicate and store data correctly.</w:t>
      </w:r>
    </w:p>
    <w:p>
      <w:pPr>
        <w:pStyle w:val="ListBullet"/>
        <w:spacing w:after="40" w:before="0"/>
        <w:ind w:left="504" w:hanging="216"/>
      </w:pPr>
      <w:r>
        <w:rPr>
          <w:rFonts w:ascii="Times New Roman" w:hAnsi="Times New Roman" w:eastAsia="Times New Roman"/>
          <w:color w:val="1F1F1F"/>
          <w:sz w:val="21"/>
        </w:rPr>
        <w:t>It supports the ability to document a working setup so the client can repeat it on a breadboard.</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Built around industrial data acquisition and monitoring requirements.</w:t>
      </w:r>
    </w:p>
    <w:p>
      <w:pPr>
        <w:pStyle w:val="ListBullet"/>
        <w:spacing w:after="40" w:before="0"/>
        <w:ind w:left="504" w:hanging="216"/>
      </w:pPr>
      <w:r>
        <w:rPr>
          <w:rFonts w:ascii="Times New Roman" w:hAnsi="Times New Roman" w:eastAsia="Times New Roman"/>
          <w:color w:val="1F1F1F"/>
          <w:sz w:val="21"/>
        </w:rPr>
        <w:t>Worked with networking and data pipeline logic for device-level information.</w:t>
      </w:r>
    </w:p>
    <w:p>
      <w:pPr>
        <w:pStyle w:val="ListBullet"/>
        <w:spacing w:after="40" w:before="0"/>
        <w:ind w:left="504" w:hanging="216"/>
      </w:pPr>
      <w:r>
        <w:rPr>
          <w:rFonts w:ascii="Times New Roman" w:hAnsi="Times New Roman" w:eastAsia="Times New Roman"/>
          <w:color w:val="1F1F1F"/>
          <w:sz w:val="21"/>
        </w:rPr>
        <w:t>Handled communication reliability between data sources and monitoring layers.</w:t>
      </w:r>
    </w:p>
    <w:p>
      <w:pPr>
        <w:pStyle w:val="ListBullet"/>
        <w:spacing w:after="40" w:before="0"/>
        <w:ind w:left="504" w:hanging="216"/>
      </w:pPr>
      <w:r>
        <w:rPr>
          <w:rFonts w:ascii="Times New Roman" w:hAnsi="Times New Roman" w:eastAsia="Times New Roman"/>
          <w:color w:val="1F1F1F"/>
          <w:sz w:val="21"/>
        </w:rPr>
        <w:t>Designed with interoperability in mind, which is useful when working with separate external modules.</w:t>
      </w:r>
    </w:p>
    <w:p>
      <w:pPr>
        <w:pStyle w:val="ListBullet"/>
        <w:spacing w:after="40" w:before="0"/>
        <w:ind w:left="504" w:hanging="216"/>
      </w:pPr>
      <w:r>
        <w:rPr>
          <w:rFonts w:ascii="Times New Roman" w:hAnsi="Times New Roman" w:eastAsia="Times New Roman"/>
          <w:color w:val="1F1F1F"/>
          <w:sz w:val="21"/>
        </w:rPr>
        <w:t>Demonstrated experience turning raw hardware data into a usable and documented system flow.</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Developed an IIoT platform using MQTT, OPC-UA, embedded data acquisition concepts, and industrial monitoring pipelines for real-time process visibility.</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udc-ii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