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192"/>
        <w:gridCol w:w="3888"/>
      </w:tblGrid>
      <w:tr>
        <w:tc>
          <w:tcPr>
            <w:tcW w:type="dxa" w:w="6192"/>
            <w:tcBorders>
              <w:bottom w:val="single" w:sz="6" w:space="0" w:color="003366"/>
            </w:tcBorders>
          </w:tcPr>
          <w:p>
            <w:pPr>
              <w:spacing w:before="0" w:after="0" w:line="252" w:lineRule="auto"/>
            </w:pPr>
            <w:r>
              <w:rPr>
                <w:b/>
                <w:color w:val="003366"/>
                <w:sz w:val="22"/>
              </w:rPr>
              <w:t>SPATIAL SIMULATION</w:t>
              <w:br/>
              <w:t>Savannah ABM 24.10. (Energy Dynamics)</w:t>
            </w:r>
          </w:p>
        </w:tc>
        <w:tc>
          <w:tcPr>
            <w:tcW w:type="dxa" w:w="3888"/>
            <w:tcBorders>
              <w:bottom w:val="single" w:sz="6" w:space="0" w:color="003366"/>
            </w:tcBorders>
          </w:tcPr>
          <w:p>
            <w:pPr>
              <w:spacing w:before="0" w:after="0" w:line="252" w:lineRule="auto"/>
              <w:jc w:val="right"/>
            </w:pPr>
            <w:r>
              <w:rPr>
                <w:color w:val="3C3C3C"/>
                <w:sz w:val="20"/>
              </w:rPr>
              <w:t>Name: Timotej Gabrijan</w:t>
              <w:br/>
              <w:t>Student number: 12526937</w:t>
            </w:r>
          </w:p>
        </w:tc>
      </w:tr>
    </w:tbl>
    <w:p>
      <w:pPr>
        <w:keepNext/>
        <w:spacing w:before="140" w:after="30"/>
      </w:pPr>
      <w:r>
        <w:rPr>
          <w:rFonts w:ascii="Calibri" w:hAnsi="Calibri"/>
          <w:b/>
          <w:color w:val="003366"/>
          <w:sz w:val="22"/>
        </w:rPr>
        <w:t>INTRODUCTION</w:t>
      </w:r>
    </w:p>
    <w:p>
      <w:pPr>
        <w:spacing w:before="30" w:after="50" w:line="254" w:lineRule="auto"/>
        <w:jc w:val="both"/>
      </w:pPr>
      <w:r>
        <w:rPr>
          <w:rFonts w:ascii="Calibri" w:hAnsi="Calibri"/>
          <w:sz w:val="19"/>
        </w:rPr>
        <w:t>This report documents the second phase of the Spatial Simulation Savannah agent-based model (ABM) implemented in the GAMA Platform. The primary objective was to expand the baseline predator-prey system (20 lions and 20 zebras on a 100x100 cellular automaton biomass grid) by integrating explicit bioenergetic constraints, metabolic depletion, and starvation mortality. In natural ecosystems, predation and herbivory are regulated by energy expenditures and local forage availability. The aim of this experiment was to investigate whether coupling caloric intake to movement costs could stabilize population dynamics and prevent the deterministic prey extinction observed in unconstrained models.</w:t>
      </w:r>
    </w:p>
    <w:p>
      <w:pPr>
        <w:keepNext/>
        <w:spacing w:before="140" w:after="30"/>
      </w:pPr>
      <w:r>
        <w:rPr>
          <w:rFonts w:ascii="Calibri" w:hAnsi="Calibri"/>
          <w:b/>
          <w:color w:val="003366"/>
          <w:sz w:val="22"/>
        </w:rPr>
        <w:t>METHODS</w:t>
      </w:r>
    </w:p>
    <w:p>
      <w:pPr>
        <w:spacing w:before="30" w:after="50" w:line="254" w:lineRule="auto"/>
        <w:jc w:val="both"/>
      </w:pPr>
      <w:r>
        <w:rPr>
          <w:rFonts w:ascii="Calibri" w:hAnsi="Calibri"/>
          <w:sz w:val="19"/>
        </w:rPr>
        <w:t>The model was developed iteratively following a modular specification with granular Git version control. The environment consists of a cellular automaton grid (my_CA) with initial biomass B in [0, 10] and regrowth capped at 10.0 (+0.1/cycle). Zebras execute a correlated random walk (amplitude 35°, speed 1.0), consume local biomass up to bite size 1.0, and convert it directly into metabolic energy pool (+1.0/bite). Moving deducts -0.1 energy/step. Lions wander with amplitude 60° (speed 1.2), expending -0.2 energy/step. When a zebra is within 1.0 unit (queried via quadtree spatial index 'at_distance'), the lion predates the zebra and absorbs +5.0 energy units. If either agent's energy reaches &lt;= 0, it dies of starvation. The workflow was guided by prompt-driven AI pair programming (Jarvis) to systematically implement, review, and benchmark each feature individually.</w:t>
      </w:r>
    </w:p>
    <w:tbl>
      <w:tblPr>
        <w:tblW w:type="auto" w:w="0"/>
        <w:jc w:val="center"/>
        <w:tblLayout w:type="fixed"/>
        <w:tblLook w:firstColumn="1" w:firstRow="1" w:lastColumn="0" w:lastRow="0" w:noHBand="0" w:noVBand="1" w:val="04A0"/>
      </w:tblPr>
      <w:tblGrid>
        <w:gridCol w:w="3283"/>
        <w:gridCol w:w="3283"/>
        <w:gridCol w:w="3283"/>
      </w:tblGrid>
      <w:tr>
        <w:tc>
          <w:tcPr>
            <w:tcW w:type="dxa" w:w="3283"/>
            <w:vAlign w:val="center"/>
            <w:tcBorders>
              <w:top w:val="single" w:sz="4" w:space="0" w:color="B0C4DE"/>
              <w:left w:val="single" w:sz="4" w:space="0" w:color="B0C4DE"/>
              <w:bottom w:val="single" w:sz="4" w:space="0" w:color="B0C4DE"/>
              <w:right w:val="single" w:sz="4" w:space="0" w:color="B0C4DE"/>
            </w:tcBorders>
            <w:shd w:fill="F4F7FA"/>
          </w:tcPr>
          <w:p>
            <w:pPr>
              <w:spacing w:before="360" w:after="360"/>
              <w:jc w:val="center"/>
            </w:pPr>
            <w:r>
              <w:rPr>
                <w:i/>
                <w:color w:val="788CA0"/>
                <w:sz w:val="17"/>
              </w:rPr>
              <w:t>[ Image Space 1 ]</w:t>
              <w:br/>
              <w:t>(Insert Figure 1 here)</w:t>
            </w:r>
          </w:p>
        </w:tc>
        <w:tc>
          <w:tcPr>
            <w:tcW w:type="dxa" w:w="3283"/>
            <w:vAlign w:val="center"/>
            <w:tcBorders>
              <w:top w:val="single" w:sz="4" w:space="0" w:color="B0C4DE"/>
              <w:left w:val="single" w:sz="4" w:space="0" w:color="B0C4DE"/>
              <w:bottom w:val="single" w:sz="4" w:space="0" w:color="B0C4DE"/>
              <w:right w:val="single" w:sz="4" w:space="0" w:color="B0C4DE"/>
            </w:tcBorders>
            <w:shd w:fill="F4F7FA"/>
          </w:tcPr>
          <w:p>
            <w:pPr>
              <w:spacing w:before="360" w:after="360"/>
              <w:jc w:val="center"/>
            </w:pPr>
            <w:r>
              <w:rPr>
                <w:i/>
                <w:color w:val="788CA0"/>
                <w:sz w:val="17"/>
              </w:rPr>
              <w:t>[ Image Space 2 ]</w:t>
              <w:br/>
              <w:t>(Insert Figure 2 here)</w:t>
            </w:r>
          </w:p>
        </w:tc>
        <w:tc>
          <w:tcPr>
            <w:tcW w:type="dxa" w:w="3283"/>
            <w:vAlign w:val="center"/>
            <w:tcBorders>
              <w:top w:val="single" w:sz="4" w:space="0" w:color="B0C4DE"/>
              <w:left w:val="single" w:sz="4" w:space="0" w:color="B0C4DE"/>
              <w:bottom w:val="single" w:sz="4" w:space="0" w:color="B0C4DE"/>
              <w:right w:val="single" w:sz="4" w:space="0" w:color="B0C4DE"/>
            </w:tcBorders>
            <w:shd w:fill="F4F7FA"/>
          </w:tcPr>
          <w:p>
            <w:pPr>
              <w:spacing w:before="360" w:after="360"/>
              <w:jc w:val="center"/>
            </w:pPr>
            <w:r>
              <w:rPr>
                <w:i/>
                <w:color w:val="788CA0"/>
                <w:sz w:val="17"/>
              </w:rPr>
              <w:t>[ Image Space 3 ]</w:t>
              <w:br/>
              <w:t>(Insert Figure 3 here)</w:t>
            </w:r>
          </w:p>
        </w:tc>
      </w:tr>
      <w:tr>
        <w:tc>
          <w:tcPr>
            <w:tcW w:type="dxa" w:w="3283"/>
          </w:tcPr>
          <w:p>
            <w:pPr>
              <w:spacing w:before="40" w:after="80"/>
              <w:jc w:val="center"/>
            </w:pPr>
            <w:r>
              <w:rPr>
                <w:color w:val="505050"/>
                <w:sz w:val="15"/>
              </w:rPr>
              <w:t>Figure 1: Savannah simulation map display showing dynamic my_CA biomass, zebras, and lions.</w:t>
            </w:r>
          </w:p>
        </w:tc>
        <w:tc>
          <w:tcPr>
            <w:tcW w:type="dxa" w:w="3283"/>
          </w:tcPr>
          <w:p>
            <w:pPr>
              <w:spacing w:before="40" w:after="80"/>
              <w:jc w:val="center"/>
            </w:pPr>
            <w:r>
              <w:rPr>
                <w:color w:val="505050"/>
                <w:sz w:val="15"/>
              </w:rPr>
              <w:t>Figure 2: Population curves over time showing prey survival and predator starvation dynamics.</w:t>
            </w:r>
          </w:p>
        </w:tc>
        <w:tc>
          <w:tcPr>
            <w:tcW w:type="dxa" w:w="3283"/>
          </w:tcPr>
          <w:p>
            <w:pPr>
              <w:spacing w:before="40" w:after="80"/>
              <w:jc w:val="center"/>
            </w:pPr>
            <w:r>
              <w:rPr>
                <w:color w:val="505050"/>
                <w:sz w:val="15"/>
              </w:rPr>
              <w:t>Figure 3: Mean metabolic energy trajectories for lions and zebras across simulation cycles.</w:t>
            </w:r>
          </w:p>
        </w:tc>
      </w:tr>
    </w:tbl>
    <w:p>
      <w:pPr>
        <w:keepNext/>
        <w:spacing w:before="140" w:after="30"/>
      </w:pPr>
      <w:r>
        <w:rPr>
          <w:rFonts w:ascii="Calibri" w:hAnsi="Calibri"/>
          <w:b/>
          <w:color w:val="003366"/>
          <w:sz w:val="22"/>
        </w:rPr>
        <w:t>RESULTS</w:t>
      </w:r>
    </w:p>
    <w:p>
      <w:pPr>
        <w:spacing w:before="30" w:after="50" w:line="254" w:lineRule="auto"/>
        <w:jc w:val="both"/>
      </w:pPr>
      <w:r>
        <w:rPr>
          <w:rFonts w:ascii="Calibri" w:hAnsi="Calibri"/>
          <w:sz w:val="19"/>
        </w:rPr>
        <w:t>In the baseline configuration without energetics, immortal lions systematically eradicated all 20 zebras within 1,500 to 2,700 cycles depending on kill distance. However, introducing metabolic depletion radically altered system stability. Because lions expend -0.2 energy per wander step and gain energy solely upon successful predation (+5.0), unsuccessful hunts triggered starvation within 50 cycles (Figure 2). This mortality relieved predation pressure, permitting surviving zebras to sustain their energy pools by grazing on biomass patches (Figure 3). Zebras situated in resource-rich cells thrived, maintaining positive energetic margins, while predators faced a critical prey density threshold below which their population collapsed. Consequently, the energy model prevented monotonic extinction and established self-limiting trophic balance.</w:t>
      </w:r>
    </w:p>
    <w:p>
      <w:pPr>
        <w:keepNext/>
        <w:spacing w:before="140" w:after="30"/>
      </w:pPr>
      <w:r>
        <w:rPr>
          <w:rFonts w:ascii="Calibri" w:hAnsi="Calibri"/>
          <w:b/>
          <w:color w:val="003366"/>
          <w:sz w:val="22"/>
        </w:rPr>
        <w:t>DISCUSSION</w:t>
      </w:r>
    </w:p>
    <w:p>
      <w:pPr>
        <w:spacing w:before="30" w:after="50" w:line="254" w:lineRule="auto"/>
        <w:jc w:val="both"/>
      </w:pPr>
      <w:r>
        <w:rPr>
          <w:rFonts w:ascii="Calibri" w:hAnsi="Calibri"/>
          <w:sz w:val="19"/>
        </w:rPr>
        <w:t>A rigorous line-by-line review against the initial prototype revealed essential semantic corrections: standardizing singular naming conventions (species lion vs. zebra), replacing fragile absolute Windows file paths with portable relative paths and shape fallbacks, and replacing O(N) linear distance iterations with GAMA's quadtree-indexed spatial search (at_distance). Topological casting via my_CA(location) proved highly effective for continuous-to-grid mapping but required defensive nil-checks at world boundaries. The AI-assisted pair programming workflow facilitated rapid prototyping and disciplined version control. Future refinements could introduce reproduction and sensory-driven foraging to achieve long-term Lotka-Volterra cycles.</w:t>
      </w:r>
    </w:p>
    <w:sectPr w:rsidR="00FC693F" w:rsidRPr="0006063C" w:rsidSect="00034616">
      <w:pgSz w:w="12240" w:h="15840"/>
      <w:pgMar w:top="900" w:right="1080" w:bottom="5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