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  <w:jc w:val="center"/>
      </w:pPr>
      <w:r>
        <w:rPr>
          <w:rFonts w:ascii="Cambria" w:hAnsi="Cambria"/>
          <w:b/>
          <w:i w:val="0"/>
          <w:sz w:val="30"/>
        </w:rPr>
        <w:t>Рекордная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прибыль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металлургии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C00000"/>
          <w:sz w:val="30"/>
        </w:rPr>
        <w:t>новые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торговые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барьеры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color w:val="002060"/>
          <w:sz w:val="30"/>
        </w:rPr>
        <w:t>ЦЭИР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проанализирован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доклад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Маккинзи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«</w:t>
      </w:r>
      <w:r>
        <w:rPr>
          <w:rFonts w:ascii="Cambria" w:hAnsi="Cambria"/>
          <w:b w:val="0"/>
          <w:i w:val="0"/>
          <w:sz w:val="30"/>
        </w:rPr>
        <w:t>Глобальная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перспектива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рынка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материалов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2026</w:t>
      </w:r>
      <w:r>
        <w:rPr>
          <w:rFonts w:ascii="Cambria" w:hAnsi="Cambria"/>
          <w:b w:val="0"/>
          <w:i w:val="0"/>
          <w:sz w:val="30"/>
        </w:rPr>
        <w:t>»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(</w:t>
      </w:r>
      <w:r>
        <w:rPr>
          <w:rFonts w:ascii="Cambria" w:hAnsi="Cambria"/>
          <w:b w:val="0"/>
          <w:i/>
          <w:sz w:val="30"/>
        </w:rPr>
        <w:t>октябрь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2026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г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b w:val="0"/>
          <w:i/>
          <w:sz w:val="30"/>
        </w:rPr>
        <w:t>)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посвящённый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состоянию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мировой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горно</w:t>
      </w:r>
      <w:r>
        <w:rPr>
          <w:rFonts w:ascii="Cambria" w:hAnsi="Cambria"/>
          <w:b w:val="0"/>
          <w:i w:val="0"/>
          <w:sz w:val="30"/>
        </w:rPr>
        <w:t>-</w:t>
      </w:r>
      <w:r>
        <w:rPr>
          <w:rFonts w:ascii="Cambria" w:hAnsi="Cambria"/>
          <w:b w:val="0"/>
          <w:i w:val="0"/>
          <w:sz w:val="30"/>
        </w:rPr>
        <w:t>металлургической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отрасли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концентрации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поставок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сырья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торговым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ограничениям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перспективам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спроса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инвестиций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2035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i/>
          <w:sz w:val="30"/>
          <w:u w:val="single"/>
        </w:rPr>
        <w:t>Справочно</w:t>
      </w:r>
      <w:r>
        <w:rPr>
          <w:rFonts w:ascii="Cambria" w:hAnsi="Cambria"/>
          <w:i/>
          <w:sz w:val="30"/>
        </w:rPr>
        <w:t xml:space="preserve">: </w:t>
      </w:r>
      <w:r>
        <w:rPr>
          <w:rFonts w:ascii="Cambria" w:hAnsi="Cambria"/>
          <w:b w:val="0"/>
          <w:i/>
          <w:color w:val="002060"/>
          <w:sz w:val="30"/>
        </w:rPr>
        <w:t>Маккинзи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–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международная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консалтинговая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компания</w:t>
      </w:r>
      <w:r>
        <w:rPr>
          <w:rFonts w:ascii="Cambria" w:hAnsi="Cambria"/>
          <w:b w:val="0"/>
          <w:i/>
          <w:sz w:val="30"/>
        </w:rPr>
        <w:t>,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доклад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подготовлен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её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практикой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7030A0"/>
          <w:sz w:val="30"/>
        </w:rPr>
        <w:t>энергетике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материалам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на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основе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базы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данных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более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чем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11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тыс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действующих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рудников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проектов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130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странах</w:t>
      </w:r>
      <w:r>
        <w:rPr>
          <w:rFonts w:ascii="Cambria" w:hAnsi="Cambria"/>
          <w:b w:val="0"/>
          <w:i/>
          <w:sz w:val="30"/>
        </w:rPr>
        <w:t>.</w:t>
      </w:r>
    </w:p>
    <w:p>
      <w:pPr>
        <w:keepNext/>
        <w:spacing w:before="200" w:after="120" w:line="264" w:lineRule="auto"/>
        <w:jc w:val="both"/>
      </w:pPr>
      <w:r>
        <w:rPr>
          <w:rFonts w:ascii="Cambria" w:hAnsi="Cambria"/>
          <w:b/>
          <w:i w:val="0"/>
          <w:sz w:val="30"/>
        </w:rPr>
        <w:t>I</w:t>
      </w:r>
      <w:r>
        <w:rPr>
          <w:rFonts w:ascii="Cambria" w:hAnsi="Cambria"/>
          <w:b/>
          <w:i w:val="0"/>
          <w:sz w:val="30"/>
        </w:rPr>
        <w:t>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Состояние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отрасли</w:t>
      </w:r>
    </w:p>
    <w:p>
      <w:pPr>
        <w:keepNext/>
        <w:spacing w:before="12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1.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Рекордная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прибыль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отрасли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обеспечена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ростом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цен</w:t>
      </w:r>
      <w:r>
        <w:rPr>
          <w:rFonts w:ascii="Cambria" w:hAnsi="Cambria"/>
          <w:b/>
          <w:i w:val="0"/>
          <w:sz w:val="30"/>
        </w:rPr>
        <w:t>,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не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производительностью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оценке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Маккинзи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операционная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рентабельность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горно</w:t>
      </w:r>
      <w:r>
        <w:rPr>
          <w:rFonts w:ascii="Cambria" w:hAnsi="Cambria"/>
          <w:b w:val="0"/>
          <w:i w:val="0"/>
          <w:sz w:val="30"/>
        </w:rPr>
        <w:t>-</w:t>
      </w:r>
      <w:r>
        <w:rPr>
          <w:rFonts w:ascii="Cambria" w:hAnsi="Cambria"/>
          <w:b w:val="0"/>
          <w:i w:val="0"/>
          <w:sz w:val="30"/>
        </w:rPr>
        <w:t>металлургических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компаний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достигла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C00000"/>
          <w:sz w:val="30"/>
        </w:rPr>
        <w:t>27</w:t>
      </w:r>
      <w:r>
        <w:rPr>
          <w:rFonts w:ascii="Cambria" w:hAnsi="Cambria"/>
          <w:b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против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19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2015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рыночная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капитализация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выросла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230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рекордных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$</w:t>
      </w:r>
      <w:r>
        <w:rPr>
          <w:rFonts w:ascii="Cambria" w:hAnsi="Cambria"/>
          <w:b w:val="0"/>
          <w:i w:val="0"/>
          <w:color w:val="C00000"/>
          <w:sz w:val="30"/>
        </w:rPr>
        <w:t>3,7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трлн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этом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выручка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выросла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лишь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1</w:t>
      </w:r>
      <w:r>
        <w:rPr>
          <w:rFonts w:ascii="Cambria" w:hAnsi="Cambria"/>
          <w:b w:val="0"/>
          <w:i w:val="0"/>
          <w:sz w:val="30"/>
        </w:rPr>
        <w:t>%,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объёмы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производства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почти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изменились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производительность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труда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осталась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прежней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отдача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капитала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снизилась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Рост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маржи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связан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сдвигом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пользу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дорогих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металлов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Золото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год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подорожало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45</w:t>
      </w:r>
      <w:r>
        <w:rPr>
          <w:rFonts w:ascii="Cambria" w:hAnsi="Cambria"/>
          <w:b w:val="0"/>
          <w:i w:val="0"/>
          <w:sz w:val="30"/>
        </w:rPr>
        <w:t>%,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медь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9</w:t>
      </w:r>
      <w:r>
        <w:rPr>
          <w:rFonts w:ascii="Cambria" w:hAnsi="Cambria"/>
          <w:b w:val="0"/>
          <w:i w:val="0"/>
          <w:sz w:val="30"/>
        </w:rPr>
        <w:t>%,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золото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впервые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обогнало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сталь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7030A0"/>
          <w:sz w:val="30"/>
        </w:rPr>
        <w:t>энергетический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уголь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обеспечив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C00000"/>
          <w:sz w:val="30"/>
        </w:rPr>
        <w:t>28</w:t>
      </w:r>
      <w:r>
        <w:rPr>
          <w:rFonts w:ascii="Cambria" w:hAnsi="Cambria"/>
          <w:b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операционной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прибыли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отрасли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против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18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годом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ранее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Авторы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доклада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подчёркивают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что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такая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маржа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носит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циклический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структурный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характер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i/>
          <w:sz w:val="30"/>
          <w:u w:val="single"/>
        </w:rPr>
        <w:t>Справочно</w:t>
      </w:r>
      <w:r>
        <w:rPr>
          <w:rFonts w:ascii="Cambria" w:hAnsi="Cambria"/>
          <w:i/>
          <w:sz w:val="30"/>
        </w:rPr>
        <w:t xml:space="preserve">: </w:t>
      </w:r>
      <w:r>
        <w:rPr>
          <w:rFonts w:ascii="Cambria" w:hAnsi="Cambria"/>
          <w:b w:val="0"/>
          <w:i/>
          <w:sz w:val="30"/>
        </w:rPr>
        <w:t>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2025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г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экспорт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золота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из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002060"/>
          <w:sz w:val="30"/>
        </w:rPr>
        <w:t>Узбекистана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превысил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$</w:t>
      </w:r>
      <w:r>
        <w:rPr>
          <w:rFonts w:ascii="Cambria" w:hAnsi="Cambria"/>
          <w:b w:val="0"/>
          <w:i/>
          <w:color w:val="C00000"/>
          <w:sz w:val="30"/>
        </w:rPr>
        <w:t>9,9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млрд</w:t>
      </w:r>
      <w:r>
        <w:rPr>
          <w:rFonts w:ascii="Cambria" w:hAnsi="Cambria"/>
          <w:b w:val="0"/>
          <w:i/>
          <w:sz w:val="30"/>
        </w:rPr>
        <w:t>.,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что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на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32,3</w:t>
      </w:r>
      <w:r>
        <w:rPr>
          <w:rFonts w:ascii="Cambria" w:hAnsi="Cambria"/>
          <w:b w:val="0"/>
          <w:i/>
          <w:sz w:val="30"/>
        </w:rPr>
        <w:t>%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выше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уровня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2024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г</w:t>
      </w:r>
      <w:r>
        <w:rPr>
          <w:rFonts w:ascii="Cambria" w:hAnsi="Cambria"/>
          <w:b w:val="0"/>
          <w:i/>
          <w:sz w:val="30"/>
        </w:rPr>
        <w:t>.,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на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золото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пришлось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29,2</w:t>
      </w:r>
      <w:r>
        <w:rPr>
          <w:rFonts w:ascii="Cambria" w:hAnsi="Cambria"/>
          <w:b w:val="0"/>
          <w:i/>
          <w:sz w:val="30"/>
        </w:rPr>
        <w:t>%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всего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экспорта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страны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i/>
          <w:color w:val="7030A0"/>
          <w:sz w:val="26"/>
        </w:rPr>
        <w:t xml:space="preserve"> (ЦЭИР: Spot.uz и Kun.uz по данным Нацкомстата, 22.01.2026)</w:t>
      </w:r>
    </w:p>
    <w:p>
      <w:pPr>
        <w:keepNext/>
        <w:spacing w:before="160" w:after="0" w:line="264" w:lineRule="auto"/>
        <w:jc w:val="center"/>
      </w:pPr>
      <w:r>
        <w:rPr>
          <w:rFonts w:ascii="Cambria" w:hAnsi="Cambria"/>
          <w:b/>
          <w:i w:val="0"/>
          <w:sz w:val="26"/>
        </w:rPr>
        <w:t>Структура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операционной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прибыли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отрасли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по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видам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сырья</w:t>
      </w:r>
      <w:r>
        <w:rPr>
          <w:rFonts w:ascii="Cambria" w:hAnsi="Cambria"/>
          <w:b/>
          <w:i w:val="0"/>
          <w:sz w:val="26"/>
        </w:rPr>
        <w:t>,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%</w:t>
      </w:r>
    </w:p>
    <w:p>
      <w:pPr>
        <w:keepNext/>
        <w:spacing w:before="40" w:after="40" w:line="264" w:lineRule="auto"/>
        <w:jc w:val="center"/>
      </w:pPr>
      <w:r>
        <w:drawing xmlns:a="http://schemas.openxmlformats.org/drawingml/2006/main">
          <wp:inline distT="0" distB="0" distL="0" distR="0">
            <wp:extent cx="6120000" cy="1980000"/>
            <wp:effectExtent l="0" t="0" r="0" b="0"/>
            <wp:docPr id="101" name="Диаграмма 1"/>
            <a:graphic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mbria" w:hAnsi="Cambria"/>
          <w:b w:val="0"/>
          <w:i/>
          <w:sz w:val="26"/>
        </w:rPr>
        <w:t>Источник</w:t>
      </w:r>
      <w:r>
        <w:rPr>
          <w:rFonts w:ascii="Cambria" w:hAnsi="Cambria"/>
          <w:b w:val="0"/>
          <w:i/>
          <w:sz w:val="26"/>
        </w:rPr>
        <w:t>: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color w:val="002060"/>
          <w:sz w:val="26"/>
        </w:rPr>
        <w:t>Маккинзи</w:t>
      </w:r>
      <w:r>
        <w:rPr>
          <w:rFonts w:ascii="Cambria" w:hAnsi="Cambria"/>
          <w:b w:val="0"/>
          <w:i/>
          <w:sz w:val="26"/>
        </w:rPr>
        <w:t>,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«</w:t>
      </w:r>
      <w:r>
        <w:rPr>
          <w:rFonts w:ascii="Cambria" w:hAnsi="Cambria"/>
          <w:b w:val="0"/>
          <w:i/>
          <w:sz w:val="26"/>
        </w:rPr>
        <w:t>Глобальная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перспектива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рынка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материалов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color w:val="C00000"/>
          <w:sz w:val="26"/>
        </w:rPr>
        <w:t>2026</w:t>
      </w:r>
      <w:r>
        <w:rPr>
          <w:rFonts w:ascii="Cambria" w:hAnsi="Cambria"/>
          <w:b w:val="0"/>
          <w:i/>
          <w:sz w:val="26"/>
        </w:rPr>
        <w:t>»,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с</w:t>
      </w:r>
      <w:r>
        <w:rPr>
          <w:rFonts w:ascii="Cambria" w:hAnsi="Cambria"/>
          <w:b w:val="0"/>
          <w:i/>
          <w:sz w:val="26"/>
        </w:rPr>
        <w:t>.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color w:val="C00000"/>
          <w:sz w:val="26"/>
        </w:rPr>
        <w:t>14</w:t>
      </w:r>
    </w:p>
    <w:p>
      <w:pPr>
        <w:keepNext/>
        <w:spacing w:before="12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2.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Ценность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смещается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к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добыче</w:t>
      </w:r>
      <w:r>
        <w:rPr>
          <w:rFonts w:ascii="Cambria" w:hAnsi="Cambria"/>
          <w:b/>
          <w:i w:val="0"/>
          <w:sz w:val="30"/>
        </w:rPr>
        <w:t>,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переработка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держится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на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попутной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продукции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Согласно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докладу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добывающего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звена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операционной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прибыли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медной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цепочки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выросла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49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2015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C00000"/>
          <w:sz w:val="30"/>
        </w:rPr>
        <w:t>88</w:t>
      </w:r>
      <w:r>
        <w:rPr>
          <w:rFonts w:ascii="Cambria" w:hAnsi="Cambria"/>
          <w:b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стальной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цепочке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30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65</w:t>
      </w:r>
      <w:r>
        <w:rPr>
          <w:rFonts w:ascii="Cambria" w:hAnsi="Cambria"/>
          <w:b w:val="0"/>
          <w:i w:val="0"/>
          <w:sz w:val="30"/>
        </w:rPr>
        <w:t>%.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Это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связано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избытком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плавильных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мощностей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поскольку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ввод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новых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рудников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отстаёт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строительства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заводов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дефицитный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концентрат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дорожает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результате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плата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переработку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концентрата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сократилась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45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дохода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медеплавильного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завода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среднем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2015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color w:val="C00000"/>
          <w:sz w:val="30"/>
        </w:rPr>
        <w:t>2024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11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нуля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первом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полугодии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2026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C00000"/>
          <w:sz w:val="30"/>
        </w:rPr>
        <w:t>65</w:t>
      </w:r>
      <w:r>
        <w:rPr>
          <w:rFonts w:ascii="Cambria" w:hAnsi="Cambria"/>
          <w:b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дохода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теперь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даёт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серная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кислота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Обратная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сторона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удорожание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серы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после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закрытия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Ормузского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пролива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февраля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июнь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2026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её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Китае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выросла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$</w:t>
      </w:r>
      <w:r>
        <w:rPr>
          <w:rFonts w:ascii="Cambria" w:hAnsi="Cambria"/>
          <w:b w:val="0"/>
          <w:i w:val="0"/>
          <w:color w:val="C00000"/>
          <w:sz w:val="30"/>
        </w:rPr>
        <w:t>612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$</w:t>
      </w:r>
      <w:r>
        <w:rPr>
          <w:rFonts w:ascii="Cambria" w:hAnsi="Cambria"/>
          <w:b w:val="0"/>
          <w:i w:val="0"/>
          <w:color w:val="C00000"/>
          <w:sz w:val="30"/>
        </w:rPr>
        <w:t>1,5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тыс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тонну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цене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$</w:t>
      </w:r>
      <w:r>
        <w:rPr>
          <w:rFonts w:ascii="Cambria" w:hAnsi="Cambria"/>
          <w:b w:val="0"/>
          <w:i w:val="0"/>
          <w:color w:val="C00000"/>
          <w:sz w:val="30"/>
        </w:rPr>
        <w:t>1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тыс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сера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серная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кислота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составляют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39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операционных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затрат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выщелачивании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меди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38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добыче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урана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46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никеля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i/>
          <w:sz w:val="30"/>
          <w:u w:val="single"/>
        </w:rPr>
        <w:t>Справочно</w:t>
      </w:r>
      <w:r>
        <w:rPr>
          <w:rFonts w:ascii="Cambria" w:hAnsi="Cambria"/>
          <w:i/>
          <w:sz w:val="30"/>
        </w:rPr>
        <w:t xml:space="preserve">: </w:t>
      </w:r>
      <w:r>
        <w:rPr>
          <w:rFonts w:ascii="Cambria" w:hAnsi="Cambria"/>
          <w:b w:val="0"/>
          <w:i/>
          <w:color w:val="002060"/>
          <w:sz w:val="30"/>
        </w:rPr>
        <w:t>АГМК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рамках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освоения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месторождения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«</w:t>
      </w:r>
      <w:r>
        <w:rPr>
          <w:rFonts w:ascii="Cambria" w:hAnsi="Cambria"/>
          <w:b w:val="0"/>
          <w:i/>
          <w:color w:val="002060"/>
          <w:sz w:val="30"/>
        </w:rPr>
        <w:t>Ёшлик</w:t>
      </w:r>
      <w:r>
        <w:rPr>
          <w:rFonts w:ascii="Cambria" w:hAnsi="Cambria"/>
          <w:b w:val="0"/>
          <w:i/>
          <w:sz w:val="30"/>
        </w:rPr>
        <w:t>-</w:t>
      </w:r>
      <w:r>
        <w:rPr>
          <w:rFonts w:ascii="Cambria" w:hAnsi="Cambria"/>
          <w:b w:val="0"/>
          <w:i/>
          <w:color w:val="C00000"/>
          <w:sz w:val="30"/>
        </w:rPr>
        <w:t>1</w:t>
      </w:r>
      <w:r>
        <w:rPr>
          <w:rFonts w:ascii="Cambria" w:hAnsi="Cambria"/>
          <w:b w:val="0"/>
          <w:i/>
          <w:sz w:val="30"/>
        </w:rPr>
        <w:t>»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строительства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нового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медеплавильного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завода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планирует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довести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выпуск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меди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до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400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тыс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т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год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к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2030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г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i/>
          <w:color w:val="7030A0"/>
          <w:sz w:val="26"/>
        </w:rPr>
        <w:t xml:space="preserve"> (ЦЭИР: Podrobno.uz (АГМК), The Moscow Times со ссылкой на Reuters)</w:t>
      </w:r>
    </w:p>
    <w:p>
      <w:pPr>
        <w:keepNext/>
        <w:spacing w:before="200" w:after="120" w:line="264" w:lineRule="auto"/>
        <w:jc w:val="both"/>
      </w:pPr>
      <w:r>
        <w:rPr>
          <w:rFonts w:ascii="Cambria" w:hAnsi="Cambria"/>
          <w:b/>
          <w:i w:val="0"/>
          <w:sz w:val="30"/>
        </w:rPr>
        <w:t>II</w:t>
      </w:r>
      <w:r>
        <w:rPr>
          <w:rFonts w:ascii="Cambria" w:hAnsi="Cambria"/>
          <w:b/>
          <w:i w:val="0"/>
          <w:sz w:val="30"/>
        </w:rPr>
        <w:t>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Концентрация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поставок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торговые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барьеры</w:t>
      </w:r>
    </w:p>
    <w:p>
      <w:pPr>
        <w:keepNext/>
        <w:spacing w:before="12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3.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Поставки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сырья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всё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более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сосредоточены</w:t>
      </w:r>
      <w:r>
        <w:rPr>
          <w:rFonts w:ascii="Cambria" w:hAnsi="Cambria"/>
          <w:b/>
          <w:i w:val="0"/>
          <w:sz w:val="30"/>
        </w:rPr>
        <w:t>,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торговля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превращается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в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инструмент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политики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данным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доклада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15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крупнейшим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видам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сырья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средняя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трёх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ведущих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стран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добыче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выросла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66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2020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69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переработке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71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C00000"/>
          <w:sz w:val="30"/>
        </w:rPr>
        <w:t>74</w:t>
      </w:r>
      <w:r>
        <w:rPr>
          <w:rFonts w:ascii="Cambria" w:hAnsi="Cambria"/>
          <w:b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color w:val="002060"/>
          <w:sz w:val="30"/>
        </w:rPr>
        <w:t>Китай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лидирует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переработке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всех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ключевых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металлов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кроме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никеля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палладия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платины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китайские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компании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обеспечили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34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новых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мощностей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2021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color w:val="C00000"/>
          <w:sz w:val="30"/>
        </w:rPr>
        <w:t>2025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C00000"/>
          <w:sz w:val="30"/>
        </w:rPr>
        <w:t>52</w:t>
      </w:r>
      <w:r>
        <w:rPr>
          <w:rFonts w:ascii="Cambria" w:hAnsi="Cambria"/>
          <w:b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новых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перерабатывающих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заводов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Из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13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видов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сырья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высокой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концентрацией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высокой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значимостью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промышленности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девять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уже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находятся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под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экспортными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барьерами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стран</w:t>
      </w:r>
      <w:r>
        <w:rPr>
          <w:rFonts w:ascii="Cambria" w:hAnsi="Cambria"/>
          <w:b w:val="0"/>
          <w:i w:val="0"/>
          <w:sz w:val="30"/>
        </w:rPr>
        <w:t>-</w:t>
      </w:r>
      <w:r>
        <w:rPr>
          <w:rFonts w:ascii="Cambria" w:hAnsi="Cambria"/>
          <w:b w:val="0"/>
          <w:i w:val="0"/>
          <w:sz w:val="30"/>
        </w:rPr>
        <w:t>поставщиков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i/>
          <w:sz w:val="30"/>
          <w:u w:val="single"/>
        </w:rPr>
        <w:t>Справочно</w:t>
      </w:r>
      <w:r>
        <w:rPr>
          <w:rFonts w:ascii="Cambria" w:hAnsi="Cambria"/>
          <w:i/>
          <w:sz w:val="30"/>
        </w:rPr>
        <w:t xml:space="preserve">: </w:t>
      </w:r>
      <w:r>
        <w:rPr>
          <w:rFonts w:ascii="Cambria" w:hAnsi="Cambria"/>
          <w:b w:val="0"/>
          <w:i/>
          <w:sz w:val="30"/>
        </w:rPr>
        <w:t>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апреле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2024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г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002060"/>
          <w:sz w:val="30"/>
        </w:rPr>
        <w:t>Узбекистан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002060"/>
          <w:sz w:val="30"/>
        </w:rPr>
        <w:t>ЕС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подписали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меморандум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7030A0"/>
          <w:sz w:val="30"/>
        </w:rPr>
        <w:t>стратегическом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партнёрстве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сфере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критического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сырья</w:t>
      </w:r>
      <w:r>
        <w:rPr>
          <w:rFonts w:ascii="Cambria" w:hAnsi="Cambria"/>
          <w:b w:val="0"/>
          <w:i/>
          <w:sz w:val="30"/>
        </w:rPr>
        <w:t>,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предусматривающий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совместное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финансирование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проектов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развитие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переработки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i/>
          <w:color w:val="7030A0"/>
          <w:sz w:val="26"/>
        </w:rPr>
        <w:t xml:space="preserve"> (ЦЭИР: Европейская служба внешних связей, Kun.uz)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i/>
          <w:sz w:val="30"/>
          <w:u w:val="single"/>
        </w:rPr>
        <w:t>Справочно</w:t>
      </w:r>
      <w:r>
        <w:rPr>
          <w:rFonts w:ascii="Cambria" w:hAnsi="Cambria"/>
          <w:i/>
          <w:sz w:val="30"/>
        </w:rPr>
        <w:t xml:space="preserve">: </w:t>
      </w:r>
      <w:r>
        <w:rPr>
          <w:rFonts w:ascii="Cambria" w:hAnsi="Cambria"/>
          <w:b w:val="0"/>
          <w:i/>
          <w:color w:val="C00000"/>
          <w:sz w:val="30"/>
        </w:rPr>
        <w:t>9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октября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2026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г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Президент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002060"/>
          <w:sz w:val="30"/>
        </w:rPr>
        <w:t>Узбекистана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предложил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ускорить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создание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центральноазиатского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альянса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критически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важным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минералам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составить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единую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цифровую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карту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ресурсов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региона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i/>
          <w:color w:val="7030A0"/>
          <w:sz w:val="26"/>
        </w:rPr>
        <w:t xml:space="preserve"> (ЦЭИР: gov.uz, УзА)</w:t>
      </w:r>
    </w:p>
    <w:p>
      <w:pPr>
        <w:keepNext/>
        <w:spacing w:before="160" w:after="0" w:line="264" w:lineRule="auto"/>
        <w:jc w:val="center"/>
      </w:pPr>
      <w:r>
        <w:rPr>
          <w:rFonts w:ascii="Cambria" w:hAnsi="Cambria"/>
          <w:b/>
          <w:i w:val="0"/>
          <w:sz w:val="26"/>
        </w:rPr>
        <w:t>Доля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color w:val="002060"/>
          <w:sz w:val="26"/>
        </w:rPr>
        <w:t>Китая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в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мировой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переработке</w:t>
      </w:r>
      <w:r>
        <w:rPr>
          <w:rFonts w:ascii="Cambria" w:hAnsi="Cambria"/>
          <w:b/>
          <w:i w:val="0"/>
          <w:sz w:val="26"/>
        </w:rPr>
        <w:t>,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color w:val="C00000"/>
          <w:sz w:val="26"/>
        </w:rPr>
        <w:t>2025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г</w:t>
      </w:r>
      <w:r>
        <w:rPr>
          <w:rFonts w:ascii="Cambria" w:hAnsi="Cambria"/>
          <w:b/>
          <w:i w:val="0"/>
          <w:sz w:val="26"/>
        </w:rPr>
        <w:t>.,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%</w:t>
      </w:r>
    </w:p>
    <w:p>
      <w:pPr>
        <w:keepNext/>
        <w:spacing w:before="40" w:after="40" w:line="264" w:lineRule="auto"/>
        <w:jc w:val="center"/>
      </w:pPr>
      <w:r>
        <w:drawing xmlns:a="http://schemas.openxmlformats.org/drawingml/2006/main">
          <wp:inline distT="0" distB="0" distL="0" distR="0">
            <wp:extent cx="6120000" cy="2160000"/>
            <wp:effectExtent l="0" t="0" r="0" b="0"/>
            <wp:docPr id="102" name="Диаграмма 2"/>
            <a:graphic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mbria" w:hAnsi="Cambria"/>
          <w:b w:val="0"/>
          <w:i/>
          <w:sz w:val="26"/>
        </w:rPr>
        <w:t>Источник</w:t>
      </w:r>
      <w:r>
        <w:rPr>
          <w:rFonts w:ascii="Cambria" w:hAnsi="Cambria"/>
          <w:b w:val="0"/>
          <w:i/>
          <w:sz w:val="26"/>
        </w:rPr>
        <w:t>: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color w:val="002060"/>
          <w:sz w:val="26"/>
        </w:rPr>
        <w:t>Маккинзи</w:t>
      </w:r>
      <w:r>
        <w:rPr>
          <w:rFonts w:ascii="Cambria" w:hAnsi="Cambria"/>
          <w:b w:val="0"/>
          <w:i/>
          <w:sz w:val="26"/>
        </w:rPr>
        <w:t>,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«</w:t>
      </w:r>
      <w:r>
        <w:rPr>
          <w:rFonts w:ascii="Cambria" w:hAnsi="Cambria"/>
          <w:b w:val="0"/>
          <w:i/>
          <w:sz w:val="26"/>
        </w:rPr>
        <w:t>Глобальная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перспектива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рынка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материалов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color w:val="C00000"/>
          <w:sz w:val="26"/>
        </w:rPr>
        <w:t>2026</w:t>
      </w:r>
      <w:r>
        <w:rPr>
          <w:rFonts w:ascii="Cambria" w:hAnsi="Cambria"/>
          <w:b w:val="0"/>
          <w:i/>
          <w:sz w:val="26"/>
        </w:rPr>
        <w:t>»,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с</w:t>
      </w:r>
      <w:r>
        <w:rPr>
          <w:rFonts w:ascii="Cambria" w:hAnsi="Cambria"/>
          <w:b w:val="0"/>
          <w:i/>
          <w:sz w:val="26"/>
        </w:rPr>
        <w:t>.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color w:val="C00000"/>
          <w:sz w:val="26"/>
        </w:rPr>
        <w:t>26</w:t>
      </w:r>
    </w:p>
    <w:p>
      <w:pPr>
        <w:keepNext/>
        <w:spacing w:before="12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4.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Пошлины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разделили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мировые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цены</w:t>
      </w:r>
      <w:r>
        <w:rPr>
          <w:rFonts w:ascii="Cambria" w:hAnsi="Cambria"/>
          <w:b/>
          <w:i w:val="0"/>
          <w:sz w:val="30"/>
        </w:rPr>
        <w:t>,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ограничения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распространились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на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лом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Согласно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докладу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после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повышения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пошлины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США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50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алюминия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стране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середине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2026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превысила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$</w:t>
      </w:r>
      <w:r>
        <w:rPr>
          <w:rFonts w:ascii="Cambria" w:hAnsi="Cambria"/>
          <w:b w:val="0"/>
          <w:i w:val="0"/>
          <w:color w:val="C00000"/>
          <w:sz w:val="30"/>
        </w:rPr>
        <w:t>6,2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тыс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тонну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что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более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чем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60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выше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китайской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Стоимость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металлов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американском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электромобиле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среднего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класса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выросла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57</w:t>
      </w:r>
      <w:r>
        <w:rPr>
          <w:rFonts w:ascii="Cambria" w:hAnsi="Cambria"/>
          <w:b w:val="0"/>
          <w:i w:val="0"/>
          <w:sz w:val="30"/>
        </w:rPr>
        <w:t>%,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китайском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29</w:t>
      </w:r>
      <w:r>
        <w:rPr>
          <w:rFonts w:ascii="Cambria" w:hAnsi="Cambria"/>
          <w:b w:val="0"/>
          <w:i w:val="0"/>
          <w:sz w:val="30"/>
        </w:rPr>
        <w:t>%,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разрыв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затратах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увеличился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$</w:t>
      </w:r>
      <w:r>
        <w:rPr>
          <w:rFonts w:ascii="Cambria" w:hAnsi="Cambria"/>
          <w:b w:val="0"/>
          <w:i w:val="0"/>
          <w:color w:val="C00000"/>
          <w:sz w:val="30"/>
        </w:rPr>
        <w:t>500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$</w:t>
      </w:r>
      <w:r>
        <w:rPr>
          <w:rFonts w:ascii="Cambria" w:hAnsi="Cambria"/>
          <w:b/>
          <w:i w:val="0"/>
          <w:color w:val="C00000"/>
          <w:sz w:val="30"/>
        </w:rPr>
        <w:t>1,2</w:t>
      </w:r>
      <w:r>
        <w:rPr>
          <w:rFonts w:ascii="Cambria" w:hAnsi="Cambria"/>
          <w:b/>
          <w:i w:val="0"/>
          <w:sz w:val="30"/>
        </w:rPr>
        <w:t>–</w:t>
      </w:r>
      <w:r>
        <w:rPr>
          <w:rFonts w:ascii="Cambria" w:hAnsi="Cambria"/>
          <w:b/>
          <w:i w:val="0"/>
          <w:color w:val="C00000"/>
          <w:sz w:val="30"/>
        </w:rPr>
        <w:t>1,4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тыс</w:t>
      </w:r>
      <w:r>
        <w:rPr>
          <w:rFonts w:ascii="Cambria" w:hAnsi="Cambria"/>
          <w:b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автомобиль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color w:val="002060"/>
          <w:sz w:val="30"/>
        </w:rPr>
        <w:t>ЕС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США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Япония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Россия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ограничивают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вывоз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лома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как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более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дешёвого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менее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углеродоёмкого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сырья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Китай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Турция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Индия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ужесточают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требования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качеству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ввозимого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лома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i/>
          <w:sz w:val="30"/>
          <w:u w:val="single"/>
        </w:rPr>
        <w:t>Справочно</w:t>
      </w:r>
      <w:r>
        <w:rPr>
          <w:rFonts w:ascii="Cambria" w:hAnsi="Cambria"/>
          <w:i/>
          <w:sz w:val="30"/>
        </w:rPr>
        <w:t xml:space="preserve">: </w:t>
      </w:r>
      <w:r>
        <w:rPr>
          <w:rFonts w:ascii="Cambria" w:hAnsi="Cambria"/>
          <w:b w:val="0"/>
          <w:i/>
          <w:color w:val="002060"/>
          <w:sz w:val="30"/>
        </w:rPr>
        <w:t>Узбекистан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с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1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июля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2025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г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ввёл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экспортную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пошлину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100</w:t>
      </w:r>
      <w:r>
        <w:rPr>
          <w:rFonts w:ascii="Cambria" w:hAnsi="Cambria"/>
          <w:b w:val="0"/>
          <w:i/>
          <w:sz w:val="30"/>
        </w:rPr>
        <w:t>%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на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лом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отходы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чёрных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цветных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металлов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для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поддержки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выпуска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готовой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продукции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из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местного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сырья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i/>
          <w:color w:val="7030A0"/>
          <w:sz w:val="26"/>
        </w:rPr>
        <w:t xml:space="preserve"> (ЦЭИР: GMK Center со ссылкой на Kapital.uz, указ Президента о реформе экспорта, март 2025 г.)</w:t>
      </w:r>
    </w:p>
    <w:p>
      <w:pPr>
        <w:keepNext/>
        <w:spacing w:before="200" w:after="120" w:line="264" w:lineRule="auto"/>
        <w:jc w:val="both"/>
      </w:pPr>
      <w:r>
        <w:rPr>
          <w:rFonts w:ascii="Cambria" w:hAnsi="Cambria"/>
          <w:b/>
          <w:i w:val="0"/>
          <w:sz w:val="30"/>
        </w:rPr>
        <w:t>III</w:t>
      </w:r>
      <w:r>
        <w:rPr>
          <w:rFonts w:ascii="Cambria" w:hAnsi="Cambria"/>
          <w:b/>
          <w:i w:val="0"/>
          <w:sz w:val="30"/>
        </w:rPr>
        <w:t>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Спрос</w:t>
      </w:r>
      <w:r>
        <w:rPr>
          <w:rFonts w:ascii="Cambria" w:hAnsi="Cambria"/>
          <w:b/>
          <w:i w:val="0"/>
          <w:sz w:val="30"/>
        </w:rPr>
        <w:t>,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капитал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производительность</w:t>
      </w:r>
    </w:p>
    <w:p>
      <w:pPr>
        <w:keepNext/>
        <w:spacing w:before="12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5.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Центр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спроса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смещается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из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002060"/>
          <w:sz w:val="30"/>
        </w:rPr>
        <w:t>Китая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в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Индию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к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центрам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обработки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данных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прогнозу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Маккинзи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Китая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мировой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выручке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металлов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достигнув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пика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48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2020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снизится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42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38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2035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тогда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как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Индии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вырастет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6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2020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C00000"/>
          <w:sz w:val="30"/>
        </w:rPr>
        <w:t>12</w:t>
      </w:r>
      <w:r>
        <w:rPr>
          <w:rFonts w:ascii="Cambria" w:hAnsi="Cambria"/>
          <w:b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Мощность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центров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обработки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данных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вырастет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84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ГВт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почти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600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ГВт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2040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2030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придётся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6,2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мирового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спроса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галлий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4,3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медь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этом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фоне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медь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середине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2026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подорожала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$</w:t>
      </w:r>
      <w:r>
        <w:rPr>
          <w:rFonts w:ascii="Cambria" w:hAnsi="Cambria"/>
          <w:b w:val="0"/>
          <w:i w:val="0"/>
          <w:color w:val="C00000"/>
          <w:sz w:val="30"/>
        </w:rPr>
        <w:t>13,5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тыс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тонну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дефицит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2035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сохранится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меди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(</w:t>
      </w:r>
      <w:r>
        <w:rPr>
          <w:rFonts w:ascii="Cambria" w:hAnsi="Cambria"/>
          <w:b w:val="0"/>
          <w:i/>
          <w:sz w:val="30"/>
        </w:rPr>
        <w:t>около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10</w:t>
      </w:r>
      <w:r>
        <w:rPr>
          <w:rFonts w:ascii="Cambria" w:hAnsi="Cambria"/>
          <w:b w:val="0"/>
          <w:i/>
          <w:sz w:val="30"/>
        </w:rPr>
        <w:t>%</w:t>
      </w:r>
      <w:r>
        <w:rPr>
          <w:rFonts w:ascii="Cambria" w:hAnsi="Cambria"/>
          <w:b w:val="0"/>
          <w:i/>
          <w:sz w:val="30"/>
        </w:rPr>
        <w:t>)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никелю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(</w:t>
      </w:r>
      <w:r>
        <w:rPr>
          <w:rFonts w:ascii="Cambria" w:hAnsi="Cambria"/>
          <w:b w:val="0"/>
          <w:i/>
          <w:color w:val="C00000"/>
          <w:sz w:val="30"/>
        </w:rPr>
        <w:t>10</w:t>
      </w:r>
      <w:r>
        <w:rPr>
          <w:rFonts w:ascii="Cambria" w:hAnsi="Cambria"/>
          <w:b w:val="0"/>
          <w:i/>
          <w:sz w:val="30"/>
        </w:rPr>
        <w:t>–</w:t>
      </w:r>
      <w:r>
        <w:rPr>
          <w:rFonts w:ascii="Cambria" w:hAnsi="Cambria"/>
          <w:b w:val="0"/>
          <w:i/>
          <w:color w:val="C00000"/>
          <w:sz w:val="30"/>
        </w:rPr>
        <w:t>20</w:t>
      </w:r>
      <w:r>
        <w:rPr>
          <w:rFonts w:ascii="Cambria" w:hAnsi="Cambria"/>
          <w:b w:val="0"/>
          <w:i/>
          <w:sz w:val="30"/>
        </w:rPr>
        <w:t>%</w:t>
      </w:r>
      <w:r>
        <w:rPr>
          <w:rFonts w:ascii="Cambria" w:hAnsi="Cambria"/>
          <w:b w:val="0"/>
          <w:i/>
          <w:sz w:val="30"/>
        </w:rPr>
        <w:t>)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редкоземельным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металлам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(</w:t>
      </w:r>
      <w:r>
        <w:rPr>
          <w:rFonts w:ascii="Cambria" w:hAnsi="Cambria"/>
          <w:b w:val="0"/>
          <w:i/>
          <w:sz w:val="30"/>
        </w:rPr>
        <w:t>свыше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20</w:t>
      </w:r>
      <w:r>
        <w:rPr>
          <w:rFonts w:ascii="Cambria" w:hAnsi="Cambria"/>
          <w:b w:val="0"/>
          <w:i/>
          <w:sz w:val="30"/>
        </w:rPr>
        <w:t>%</w:t>
      </w:r>
      <w:r>
        <w:rPr>
          <w:rFonts w:ascii="Cambria" w:hAnsi="Cambria"/>
          <w:b w:val="0"/>
          <w:i/>
          <w:sz w:val="30"/>
        </w:rPr>
        <w:t>)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keepNext/>
        <w:spacing w:before="160" w:after="0" w:line="264" w:lineRule="auto"/>
        <w:jc w:val="center"/>
      </w:pPr>
      <w:r>
        <w:rPr>
          <w:rFonts w:ascii="Cambria" w:hAnsi="Cambria"/>
          <w:b/>
          <w:i w:val="0"/>
          <w:sz w:val="26"/>
        </w:rPr>
        <w:t>Доля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в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мировой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выручке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от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металлов</w:t>
      </w:r>
      <w:r>
        <w:rPr>
          <w:rFonts w:ascii="Cambria" w:hAnsi="Cambria"/>
          <w:b/>
          <w:i w:val="0"/>
          <w:sz w:val="26"/>
        </w:rPr>
        <w:t>,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%</w:t>
      </w:r>
    </w:p>
    <w:p>
      <w:pPr>
        <w:keepNext/>
        <w:spacing w:before="40" w:after="40" w:line="264" w:lineRule="auto"/>
        <w:jc w:val="center"/>
      </w:pPr>
      <w:r>
        <w:drawing xmlns:a="http://schemas.openxmlformats.org/drawingml/2006/main">
          <wp:inline distT="0" distB="0" distL="0" distR="0">
            <wp:extent cx="6120000" cy="1800000"/>
            <wp:effectExtent l="0" t="0" r="0" b="0"/>
            <wp:docPr id="103" name="Диаграмма 3"/>
            <a:graphic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mbria" w:hAnsi="Cambria"/>
          <w:b w:val="0"/>
          <w:i/>
          <w:sz w:val="26"/>
        </w:rPr>
        <w:t>Источник</w:t>
      </w:r>
      <w:r>
        <w:rPr>
          <w:rFonts w:ascii="Cambria" w:hAnsi="Cambria"/>
          <w:b w:val="0"/>
          <w:i/>
          <w:sz w:val="26"/>
        </w:rPr>
        <w:t>: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color w:val="002060"/>
          <w:sz w:val="26"/>
        </w:rPr>
        <w:t>Маккинзи</w:t>
      </w:r>
      <w:r>
        <w:rPr>
          <w:rFonts w:ascii="Cambria" w:hAnsi="Cambria"/>
          <w:b w:val="0"/>
          <w:i/>
          <w:sz w:val="26"/>
        </w:rPr>
        <w:t>,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«</w:t>
      </w:r>
      <w:r>
        <w:rPr>
          <w:rFonts w:ascii="Cambria" w:hAnsi="Cambria"/>
          <w:b w:val="0"/>
          <w:i/>
          <w:sz w:val="26"/>
        </w:rPr>
        <w:t>Глобальная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перспектива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рынка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материалов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color w:val="C00000"/>
          <w:sz w:val="26"/>
        </w:rPr>
        <w:t>2026</w:t>
      </w:r>
      <w:r>
        <w:rPr>
          <w:rFonts w:ascii="Cambria" w:hAnsi="Cambria"/>
          <w:b w:val="0"/>
          <w:i/>
          <w:sz w:val="26"/>
        </w:rPr>
        <w:t>»,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с</w:t>
      </w:r>
      <w:r>
        <w:rPr>
          <w:rFonts w:ascii="Cambria" w:hAnsi="Cambria"/>
          <w:b w:val="0"/>
          <w:i/>
          <w:sz w:val="26"/>
        </w:rPr>
        <w:t>.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color w:val="C00000"/>
          <w:sz w:val="26"/>
        </w:rPr>
        <w:t>40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(</w:t>
      </w:r>
      <w:r>
        <w:rPr>
          <w:rFonts w:ascii="Cambria" w:hAnsi="Cambria"/>
          <w:b w:val="0"/>
          <w:i/>
          <w:color w:val="C00000"/>
          <w:sz w:val="26"/>
        </w:rPr>
        <w:t>2030</w:t>
      </w:r>
      <w:r>
        <w:rPr>
          <w:rFonts w:ascii="Cambria" w:hAnsi="Cambria"/>
          <w:b w:val="0"/>
          <w:i/>
          <w:sz w:val="26"/>
        </w:rPr>
        <w:t>–</w:t>
      </w:r>
      <w:r>
        <w:rPr>
          <w:rFonts w:ascii="Cambria" w:hAnsi="Cambria"/>
          <w:b w:val="0"/>
          <w:i/>
          <w:color w:val="C00000"/>
          <w:sz w:val="26"/>
        </w:rPr>
        <w:t>2035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гг</w:t>
      </w:r>
      <w:r>
        <w:rPr>
          <w:rFonts w:ascii="Cambria" w:hAnsi="Cambria"/>
          <w:b w:val="0"/>
          <w:i/>
          <w:sz w:val="26"/>
        </w:rPr>
        <w:t>.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–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прогноз</w:t>
      </w:r>
      <w:r>
        <w:rPr>
          <w:rFonts w:ascii="Cambria" w:hAnsi="Cambria"/>
          <w:b w:val="0"/>
          <w:i/>
          <w:sz w:val="26"/>
        </w:rPr>
        <w:t>)</w:t>
      </w:r>
    </w:p>
    <w:p>
      <w:pPr>
        <w:keepNext/>
        <w:spacing w:before="12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6.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Для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покрытия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спроса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нужны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$</w:t>
      </w:r>
      <w:r>
        <w:rPr>
          <w:rFonts w:ascii="Cambria" w:hAnsi="Cambria"/>
          <w:b/>
          <w:i w:val="0"/>
          <w:color w:val="C00000"/>
          <w:sz w:val="30"/>
        </w:rPr>
        <w:t>4,2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трлн</w:t>
      </w:r>
      <w:r>
        <w:rPr>
          <w:rFonts w:ascii="Cambria" w:hAnsi="Cambria"/>
          <w:b/>
          <w:i w:val="0"/>
          <w:sz w:val="30"/>
        </w:rPr>
        <w:t>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инвестиций</w:t>
      </w:r>
      <w:r>
        <w:rPr>
          <w:rFonts w:ascii="Cambria" w:hAnsi="Cambria"/>
          <w:b/>
          <w:i w:val="0"/>
          <w:sz w:val="30"/>
        </w:rPr>
        <w:t>,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но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отдача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от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разведки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капитала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падает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оценке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доклада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2035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отрасли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потребуется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около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$</w:t>
      </w:r>
      <w:r>
        <w:rPr>
          <w:rFonts w:ascii="Cambria" w:hAnsi="Cambria"/>
          <w:b/>
          <w:i w:val="0"/>
          <w:color w:val="C00000"/>
          <w:sz w:val="30"/>
        </w:rPr>
        <w:t>4,2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трлн</w:t>
      </w:r>
      <w:r>
        <w:rPr>
          <w:rFonts w:ascii="Cambria" w:hAnsi="Cambria"/>
          <w:b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капиталовложений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$</w:t>
      </w:r>
      <w:r>
        <w:rPr>
          <w:rFonts w:ascii="Cambria" w:hAnsi="Cambria"/>
          <w:b w:val="0"/>
          <w:i w:val="0"/>
          <w:color w:val="C00000"/>
          <w:sz w:val="30"/>
        </w:rPr>
        <w:t>215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млрд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год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что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примерно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10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выше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уровня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когда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инвестиции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составили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$</w:t>
      </w:r>
      <w:r>
        <w:rPr>
          <w:rFonts w:ascii="Cambria" w:hAnsi="Cambria"/>
          <w:b w:val="0"/>
          <w:i w:val="0"/>
          <w:color w:val="C00000"/>
          <w:sz w:val="30"/>
        </w:rPr>
        <w:t>194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млрд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были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45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ниже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пика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2012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Расходы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разведку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золота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меди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лет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выросли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шесть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раз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крупных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открытий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последнее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десятилетие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среднем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менее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пяти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год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поскольку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залежи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глубже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сроки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согласований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длиннее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Резерв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роста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производительности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оценивается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$</w:t>
      </w:r>
      <w:r>
        <w:rPr>
          <w:rFonts w:ascii="Cambria" w:hAnsi="Cambria"/>
          <w:b w:val="0"/>
          <w:i w:val="0"/>
          <w:color w:val="C00000"/>
          <w:sz w:val="30"/>
        </w:rPr>
        <w:t>450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color w:val="C00000"/>
          <w:sz w:val="30"/>
        </w:rPr>
        <w:t>750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млрд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год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15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color w:val="C00000"/>
          <w:sz w:val="30"/>
        </w:rPr>
        <w:t>25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выручки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парк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беспилотных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карьерных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самосвалов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вырос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769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2021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5,7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тыс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2026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более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половины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из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Китае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i/>
          <w:sz w:val="30"/>
          <w:u w:val="single"/>
        </w:rPr>
        <w:t>Справочно</w:t>
      </w:r>
      <w:r>
        <w:rPr>
          <w:rFonts w:ascii="Cambria" w:hAnsi="Cambria"/>
          <w:i/>
          <w:sz w:val="30"/>
        </w:rPr>
        <w:t xml:space="preserve">: </w:t>
      </w:r>
      <w:r>
        <w:rPr>
          <w:rFonts w:ascii="Cambria" w:hAnsi="Cambria"/>
          <w:b w:val="0"/>
          <w:i/>
          <w:sz w:val="30"/>
        </w:rPr>
        <w:t>для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стран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002060"/>
          <w:sz w:val="30"/>
        </w:rPr>
        <w:t>СНГ</w:t>
      </w:r>
      <w:r>
        <w:rPr>
          <w:rFonts w:ascii="Cambria" w:hAnsi="Cambria"/>
          <w:b w:val="0"/>
          <w:i/>
          <w:sz w:val="30"/>
        </w:rPr>
        <w:t>,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включая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002060"/>
          <w:sz w:val="30"/>
        </w:rPr>
        <w:t>Центральную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002060"/>
          <w:sz w:val="30"/>
        </w:rPr>
        <w:t>Азию</w:t>
      </w:r>
      <w:r>
        <w:rPr>
          <w:rFonts w:ascii="Cambria" w:hAnsi="Cambria"/>
          <w:b w:val="0"/>
          <w:i/>
          <w:sz w:val="30"/>
        </w:rPr>
        <w:t>,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доклад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прогнозирует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снижение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капиталовложений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добычу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и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переработку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с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$</w:t>
      </w:r>
      <w:r>
        <w:rPr>
          <w:rFonts w:ascii="Cambria" w:hAnsi="Cambria"/>
          <w:b w:val="0"/>
          <w:i/>
          <w:color w:val="C00000"/>
          <w:sz w:val="30"/>
        </w:rPr>
        <w:t>268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млрд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2014</w:t>
      </w:r>
      <w:r>
        <w:rPr>
          <w:rFonts w:ascii="Cambria" w:hAnsi="Cambria"/>
          <w:b w:val="0"/>
          <w:i/>
          <w:sz w:val="30"/>
        </w:rPr>
        <w:t>–</w:t>
      </w:r>
      <w:r>
        <w:rPr>
          <w:rFonts w:ascii="Cambria" w:hAnsi="Cambria"/>
          <w:b w:val="0"/>
          <w:i/>
          <w:color w:val="C00000"/>
          <w:sz w:val="30"/>
        </w:rPr>
        <w:t>2024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гг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до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$</w:t>
      </w:r>
      <w:r>
        <w:rPr>
          <w:rFonts w:ascii="Cambria" w:hAnsi="Cambria"/>
          <w:b w:val="0"/>
          <w:i/>
          <w:color w:val="C00000"/>
          <w:sz w:val="30"/>
        </w:rPr>
        <w:t>236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млрд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в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2025</w:t>
      </w:r>
      <w:r>
        <w:rPr>
          <w:rFonts w:ascii="Cambria" w:hAnsi="Cambria"/>
          <w:b w:val="0"/>
          <w:i/>
          <w:sz w:val="30"/>
        </w:rPr>
        <w:t>–</w:t>
      </w:r>
      <w:r>
        <w:rPr>
          <w:rFonts w:ascii="Cambria" w:hAnsi="Cambria"/>
          <w:b w:val="0"/>
          <w:i/>
          <w:color w:val="C00000"/>
          <w:sz w:val="30"/>
        </w:rPr>
        <w:t>2035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гг</w:t>
      </w:r>
      <w:r>
        <w:rPr>
          <w:rFonts w:ascii="Cambria" w:hAnsi="Cambria"/>
          <w:b w:val="0"/>
          <w:i/>
          <w:sz w:val="30"/>
        </w:rPr>
        <w:t>.</w:t>
      </w:r>
    </w:p>
    <w:p>
      <w:pPr>
        <w:spacing w:before="200" w:after="120" w:line="264" w:lineRule="auto"/>
        <w:jc w:val="center"/>
        <w:shd w:val="clear" w:color="auto" w:fill="C5E0B4"/>
      </w:pPr>
      <w:r>
        <w:rPr>
          <w:rFonts w:ascii="Cambria" w:hAnsi="Cambria"/>
          <w:b/>
          <w:i w:val="0"/>
          <w:sz w:val="30"/>
        </w:rPr>
        <w:t>IV</w:t>
      </w:r>
      <w:r>
        <w:rPr>
          <w:rFonts w:ascii="Cambria" w:hAnsi="Cambria"/>
          <w:b/>
          <w:i w:val="0"/>
          <w:sz w:val="30"/>
        </w:rPr>
        <w:t>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Предложения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002060"/>
          <w:sz w:val="30"/>
        </w:rPr>
        <w:t>ЦЭИР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для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002060"/>
          <w:sz w:val="30"/>
        </w:rPr>
        <w:t>Узбекистана</w:t>
      </w:r>
    </w:p>
    <w:p>
      <w:pPr>
        <w:spacing w:before="120" w:after="120" w:line="264" w:lineRule="auto"/>
        <w:ind w:firstLine="680"/>
        <w:jc w:val="both"/>
        <w:shd w:val="clear" w:color="auto" w:fill="C5E0B4"/>
      </w:pP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основании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вышеизложенного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предлагается</w:t>
      </w:r>
      <w:r>
        <w:rPr>
          <w:rFonts w:ascii="Cambria" w:hAnsi="Cambria"/>
          <w:b w:val="0"/>
          <w:i w:val="0"/>
          <w:sz w:val="30"/>
        </w:rPr>
        <w:t>:</w:t>
      </w:r>
    </w:p>
    <w:p>
      <w:pPr>
        <w:spacing w:before="120" w:after="120" w:line="264" w:lineRule="auto"/>
        <w:ind w:firstLine="680"/>
        <w:jc w:val="both"/>
        <w:shd w:val="clear" w:color="auto" w:fill="C5E0B4"/>
      </w:pPr>
      <w:r>
        <w:rPr>
          <w:rFonts w:ascii="Cambria" w:hAnsi="Cambria"/>
          <w:b/>
          <w:i w:val="0"/>
          <w:color w:val="C00000"/>
          <w:sz w:val="30"/>
        </w:rPr>
        <w:t>1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Закладывать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доход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от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попутной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продукции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в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модель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C00000"/>
          <w:sz w:val="30"/>
        </w:rPr>
        <w:t>нового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медеплавильного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завода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002060"/>
          <w:sz w:val="30"/>
        </w:rPr>
        <w:t>АГМК</w:t>
      </w:r>
      <w:r>
        <w:rPr>
          <w:rFonts w:ascii="Cambria" w:hAnsi="Cambria"/>
          <w:b/>
          <w:i w:val="0"/>
          <w:sz w:val="30"/>
        </w:rPr>
        <w:t>.</w:t>
      </w:r>
      <w:r>
        <w:t xml:space="preserve"> </w:t>
      </w:r>
      <w:r>
        <w:rPr>
          <w:rFonts w:ascii="Cambria" w:hAnsi="Cambria"/>
          <w:b w:val="0"/>
          <w:i w:val="0"/>
          <w:sz w:val="30"/>
        </w:rPr>
        <w:t>Поскольку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плата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переработку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концентрата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упала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нуля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(</w:t>
      </w:r>
      <w:r>
        <w:rPr>
          <w:rFonts w:ascii="Cambria" w:hAnsi="Cambria"/>
          <w:b w:val="0"/>
          <w:i/>
          <w:sz w:val="30"/>
        </w:rPr>
        <w:t>вывод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№</w:t>
      </w:r>
      <w:r>
        <w:rPr>
          <w:rFonts w:ascii="Cambria" w:hAnsi="Cambria"/>
          <w:b w:val="0"/>
          <w:i/>
          <w:color w:val="C00000"/>
          <w:sz w:val="30"/>
        </w:rPr>
        <w:t>2</w:t>
      </w:r>
      <w:r>
        <w:rPr>
          <w:rFonts w:ascii="Cambria" w:hAnsi="Cambria"/>
          <w:b w:val="0"/>
          <w:i/>
          <w:sz w:val="30"/>
        </w:rPr>
        <w:t>)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устойчивость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завода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будет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определяться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продажей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серной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кислоты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попутных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металлов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что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требует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заранее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обеспечить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её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сбыт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внутри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страны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  <w:shd w:val="clear" w:color="auto" w:fill="C5E0B4"/>
      </w:pPr>
      <w:r>
        <w:rPr>
          <w:rFonts w:ascii="Cambria" w:hAnsi="Cambria"/>
          <w:b/>
          <w:i w:val="0"/>
          <w:color w:val="C00000"/>
          <w:sz w:val="30"/>
        </w:rPr>
        <w:t>2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Позиционировать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002060"/>
          <w:sz w:val="30"/>
        </w:rPr>
        <w:t>Узбекистан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как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поставщика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переработанного</w:t>
      </w:r>
      <w:r>
        <w:rPr>
          <w:rFonts w:ascii="Cambria" w:hAnsi="Cambria"/>
          <w:b/>
          <w:i w:val="0"/>
          <w:sz w:val="30"/>
        </w:rPr>
        <w:t>,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не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только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добытого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сырья</w:t>
      </w:r>
      <w:r>
        <w:rPr>
          <w:rFonts w:ascii="Cambria" w:hAnsi="Cambria"/>
          <w:b/>
          <w:i w:val="0"/>
          <w:sz w:val="30"/>
        </w:rPr>
        <w:t>.</w:t>
      </w:r>
      <w:r>
        <w:t xml:space="preserve"> </w:t>
      </w:r>
      <w:r>
        <w:rPr>
          <w:rFonts w:ascii="Cambria" w:hAnsi="Cambria"/>
          <w:b w:val="0"/>
          <w:i w:val="0"/>
          <w:sz w:val="30"/>
        </w:rPr>
        <w:t>Узким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местом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мировых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поставок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остаётся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переработка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(</w:t>
      </w:r>
      <w:r>
        <w:rPr>
          <w:rFonts w:ascii="Cambria" w:hAnsi="Cambria"/>
          <w:b w:val="0"/>
          <w:i/>
          <w:sz w:val="30"/>
        </w:rPr>
        <w:t>вывод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№</w:t>
      </w:r>
      <w:r>
        <w:rPr>
          <w:rFonts w:ascii="Cambria" w:hAnsi="Cambria"/>
          <w:b w:val="0"/>
          <w:i/>
          <w:color w:val="C00000"/>
          <w:sz w:val="30"/>
        </w:rPr>
        <w:t>3</w:t>
      </w:r>
      <w:r>
        <w:rPr>
          <w:rFonts w:ascii="Cambria" w:hAnsi="Cambria"/>
          <w:b w:val="0"/>
          <w:i/>
          <w:sz w:val="30"/>
        </w:rPr>
        <w:t>)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поэтому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партнёрство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ЕС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региональный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альянс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критическим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минералам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целесообразно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использовать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привлечения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проектов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переработке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финансированием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из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разных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центров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силы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  <w:shd w:val="clear" w:color="auto" w:fill="C5E0B4"/>
      </w:pPr>
      <w:r>
        <w:rPr>
          <w:rFonts w:ascii="Cambria" w:hAnsi="Cambria"/>
          <w:b/>
          <w:i w:val="0"/>
          <w:color w:val="C00000"/>
          <w:sz w:val="30"/>
        </w:rPr>
        <w:t>3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Дополнить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пошлину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на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вывоз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лома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мощностями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его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сортировке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переплавке</w:t>
      </w:r>
      <w:r>
        <w:rPr>
          <w:rFonts w:ascii="Cambria" w:hAnsi="Cambria"/>
          <w:b/>
          <w:i w:val="0"/>
          <w:sz w:val="30"/>
        </w:rPr>
        <w:t>.</w:t>
      </w:r>
      <w:r>
        <w:t xml:space="preserve"> </w:t>
      </w:r>
      <w:r>
        <w:rPr>
          <w:rFonts w:ascii="Cambria" w:hAnsi="Cambria"/>
          <w:b w:val="0"/>
          <w:i w:val="0"/>
          <w:sz w:val="30"/>
        </w:rPr>
        <w:t>Удержанный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внутри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страны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лом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даёт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эффект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только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наличии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переработки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(</w:t>
      </w:r>
      <w:r>
        <w:rPr>
          <w:rFonts w:ascii="Cambria" w:hAnsi="Cambria"/>
          <w:b w:val="0"/>
          <w:i/>
          <w:sz w:val="30"/>
        </w:rPr>
        <w:t>вывод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№</w:t>
      </w:r>
      <w:r>
        <w:rPr>
          <w:rFonts w:ascii="Cambria" w:hAnsi="Cambria"/>
          <w:b w:val="0"/>
          <w:i/>
          <w:color w:val="C00000"/>
          <w:sz w:val="30"/>
        </w:rPr>
        <w:t>4</w:t>
      </w:r>
      <w:r>
        <w:rPr>
          <w:rFonts w:ascii="Cambria" w:hAnsi="Cambria"/>
          <w:b w:val="0"/>
          <w:i/>
          <w:sz w:val="30"/>
        </w:rPr>
        <w:t>)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иначе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он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остаётся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невостребованным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запасом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  <w:shd w:val="clear" w:color="auto" w:fill="C5E0B4"/>
      </w:pPr>
      <w:r>
        <w:rPr>
          <w:rFonts w:ascii="Cambria" w:hAnsi="Cambria"/>
          <w:b/>
          <w:i w:val="0"/>
          <w:color w:val="C00000"/>
          <w:sz w:val="30"/>
        </w:rPr>
        <w:t>4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Ускорить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геологоразведку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на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основе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цифровых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данных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ИИ</w:t>
      </w:r>
      <w:r>
        <w:rPr>
          <w:rFonts w:ascii="Cambria" w:hAnsi="Cambria"/>
          <w:b/>
          <w:i w:val="0"/>
          <w:sz w:val="30"/>
        </w:rPr>
        <w:t>.</w:t>
      </w:r>
      <w:r>
        <w:t xml:space="preserve"> </w:t>
      </w: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падающей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отдаче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традиционной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разведки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(</w:t>
      </w:r>
      <w:r>
        <w:rPr>
          <w:rFonts w:ascii="Cambria" w:hAnsi="Cambria"/>
          <w:b w:val="0"/>
          <w:i/>
          <w:sz w:val="30"/>
        </w:rPr>
        <w:t>вывод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№</w:t>
      </w:r>
      <w:r>
        <w:rPr>
          <w:rFonts w:ascii="Cambria" w:hAnsi="Cambria"/>
          <w:b w:val="0"/>
          <w:i/>
          <w:color w:val="C00000"/>
          <w:sz w:val="30"/>
        </w:rPr>
        <w:t>6</w:t>
      </w:r>
      <w:r>
        <w:rPr>
          <w:rFonts w:ascii="Cambria" w:hAnsi="Cambria"/>
          <w:b w:val="0"/>
          <w:i/>
          <w:sz w:val="30"/>
        </w:rPr>
        <w:t>)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единая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цифровая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база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геологических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данных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анализ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архивных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спутниковых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данных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позволят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снизить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стоимость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открытия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месторождений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привлечь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инвесторов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60" w:after="120" w:line="264" w:lineRule="auto"/>
        <w:jc w:val="right"/>
      </w:pPr>
      <w:r>
        <w:rPr>
          <w:rFonts w:ascii="Cambria" w:hAnsi="Cambria"/>
          <w:b/>
          <w:color w:val="002060"/>
          <w:sz w:val="30"/>
        </w:rPr>
        <w:t>ЦЭИР</w:t>
      </w:r>
    </w:p>
    <w:p>
      <w:pPr>
        <w:pageBreakBefore/>
        <w:spacing w:before="200" w:after="120" w:line="264" w:lineRule="auto"/>
        <w:jc w:val="right"/>
      </w:pPr>
      <w:r>
        <w:rPr>
          <w:rFonts w:ascii="Cambria" w:hAnsi="Cambria"/>
          <w:b w:val="0"/>
          <w:i/>
          <w:sz w:val="28"/>
        </w:rPr>
        <w:t>Приложение</w:t>
      </w:r>
      <w:r>
        <w:rPr>
          <w:rFonts w:ascii="Cambria" w:hAnsi="Cambria"/>
          <w:b w:val="0"/>
          <w:i/>
          <w:sz w:val="28"/>
        </w:rPr>
        <w:t xml:space="preserve"> </w:t>
      </w:r>
      <w:r>
        <w:rPr>
          <w:rFonts w:ascii="Cambria" w:hAnsi="Cambria"/>
          <w:b w:val="0"/>
          <w:i/>
          <w:sz w:val="28"/>
        </w:rPr>
        <w:t>№</w:t>
      </w:r>
      <w:r>
        <w:rPr>
          <w:rFonts w:ascii="Cambria" w:hAnsi="Cambria"/>
          <w:b w:val="0"/>
          <w:i/>
          <w:color w:val="C00000"/>
          <w:sz w:val="28"/>
        </w:rPr>
        <w:t>1</w:t>
      </w:r>
    </w:p>
    <w:p>
      <w:pPr>
        <w:keepNext/>
        <w:spacing w:before="40" w:after="120" w:line="264" w:lineRule="auto"/>
        <w:jc w:val="center"/>
      </w:pPr>
      <w:r>
        <w:rPr>
          <w:rFonts w:ascii="Cambria" w:hAnsi="Cambria"/>
          <w:b/>
          <w:i w:val="0"/>
          <w:sz w:val="26"/>
        </w:rPr>
        <w:t>Структура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дохода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медеплавильного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завода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на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тонну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концентрата</w:t>
      </w:r>
      <w:r>
        <w:rPr>
          <w:rFonts w:ascii="Cambria" w:hAnsi="Cambria"/>
          <w:b/>
          <w:i w:val="0"/>
          <w:sz w:val="26"/>
        </w:rPr>
        <w:t>,</w:t>
      </w:r>
      <w:r>
        <w:rPr>
          <w:rFonts w:ascii="Cambria" w:hAnsi="Cambria"/>
          <w:b/>
          <w:i w:val="0"/>
          <w:sz w:val="26"/>
        </w:rPr>
        <w:t xml:space="preserve"> </w:t>
      </w:r>
      <w:r>
        <w:rPr>
          <w:rFonts w:ascii="Cambria" w:hAnsi="Cambria"/>
          <w:b/>
          <w:i w:val="0"/>
          <w:sz w:val="26"/>
        </w:rPr>
        <w:t>%</w:t>
      </w:r>
    </w:p>
    <w:p>
      <w:pPr>
        <w:keepNext/>
        <w:spacing w:before="40" w:after="40" w:line="264" w:lineRule="auto"/>
        <w:jc w:val="center"/>
      </w:pPr>
      <w:r>
        <w:drawing xmlns:a="http://schemas.openxmlformats.org/drawingml/2006/main">
          <wp:inline distT="0" distB="0" distL="0" distR="0">
            <wp:extent cx="6120000" cy="2520000"/>
            <wp:effectExtent l="0" t="0" r="0" b="0"/>
            <wp:docPr id="104" name="Диаграмма 4"/>
            <a:graphic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mbria" w:hAnsi="Cambria"/>
          <w:b w:val="0"/>
          <w:i/>
          <w:sz w:val="26"/>
        </w:rPr>
        <w:t>Источник</w:t>
      </w:r>
      <w:r>
        <w:rPr>
          <w:rFonts w:ascii="Cambria" w:hAnsi="Cambria"/>
          <w:b w:val="0"/>
          <w:i/>
          <w:sz w:val="26"/>
        </w:rPr>
        <w:t>: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color w:val="002060"/>
          <w:sz w:val="26"/>
        </w:rPr>
        <w:t>Маккинзи</w:t>
      </w:r>
      <w:r>
        <w:rPr>
          <w:rFonts w:ascii="Cambria" w:hAnsi="Cambria"/>
          <w:b w:val="0"/>
          <w:i/>
          <w:sz w:val="26"/>
        </w:rPr>
        <w:t>,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«</w:t>
      </w:r>
      <w:r>
        <w:rPr>
          <w:rFonts w:ascii="Cambria" w:hAnsi="Cambria"/>
          <w:b w:val="0"/>
          <w:i/>
          <w:sz w:val="26"/>
        </w:rPr>
        <w:t>Глобальная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перспектива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рынка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материалов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color w:val="C00000"/>
          <w:sz w:val="26"/>
        </w:rPr>
        <w:t>2026</w:t>
      </w:r>
      <w:r>
        <w:rPr>
          <w:rFonts w:ascii="Cambria" w:hAnsi="Cambria"/>
          <w:b w:val="0"/>
          <w:i/>
          <w:sz w:val="26"/>
        </w:rPr>
        <w:t>»,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с</w:t>
      </w:r>
      <w:r>
        <w:rPr>
          <w:rFonts w:ascii="Cambria" w:hAnsi="Cambria"/>
          <w:b w:val="0"/>
          <w:i/>
          <w:sz w:val="26"/>
        </w:rPr>
        <w:t>.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color w:val="C00000"/>
          <w:sz w:val="26"/>
        </w:rPr>
        <w:t>19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>
      <w:r>
        <w:rPr>
          <w:rFonts w:ascii="Cambria" w:hAnsi="Cambria"/>
          <w:sz w:val="24"/>
          <w:color w:val="C00000"/>
        </w:rPr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chart" Target="charts/chart1.xml"/><Relationship Id="rId11" Type="http://schemas.openxmlformats.org/officeDocument/2006/relationships/chart" Target="charts/chart2.xml"/><Relationship Id="rId12" Type="http://schemas.openxmlformats.org/officeDocument/2006/relationships/chart" Target="charts/chart3.xml"/><Relationship Id="rId13" Type="http://schemas.openxmlformats.org/officeDocument/2006/relationships/chart" Target="charts/chart4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Workbook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Workbook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Workbook3.xlsx"/></Relationships>
</file>

<file path=word/charts/_rels/chart4.xml.rels><?xml version='1.0' encoding='UTF-8' standalone='yes'?>
<Relationships xmlns="http://schemas.openxmlformats.org/package/2006/relationships"><Relationship Id="rId1" Type="http://schemas.openxmlformats.org/officeDocument/2006/relationships/package" Target="../embeddings/Workbook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2024</c:v>
                </c:pt>
              </c:strCache>
            </c:strRef>
          </c:tx>
          <c:spPr>
            <a:solidFill>
              <a:srgbClr val="002060"/>
            </a:solidFill>
          </c:spPr>
          <c:invertIfNegative val="0"/>
          <c:dLbls>
            <c:txPr>
              <a:bodyPr/>
              <a:lstStyle/>
              <a:p>
                <a:pPr>
                  <a:defRPr b="1"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Лист1!$A$2:$A$6</c:f>
              <c:strCache>
                <c:ptCount val="5"/>
                <c:pt idx="0">
                  <c:v>Золото</c:v>
                </c:pt>
                <c:pt idx="1">
                  <c:v>Сталь</c:v>
                </c:pt>
                <c:pt idx="2">
                  <c:v>Энергетический уголь</c:v>
                </c:pt>
                <c:pt idx="3">
                  <c:v>Медь</c:v>
                </c:pt>
                <c:pt idx="4">
                  <c:v>Алюминий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18</c:v>
                </c:pt>
                <c:pt idx="1">
                  <c:v>32</c:v>
                </c:pt>
                <c:pt idx="2">
                  <c:v>22</c:v>
                </c:pt>
                <c:pt idx="3">
                  <c:v>11</c:v>
                </c:pt>
                <c:pt idx="4">
                  <c:v>5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C00000"/>
            </a:solidFill>
          </c:spPr>
          <c:invertIfNegative val="0"/>
          <c:dLbls>
            <c:txPr>
              <a:bodyPr/>
              <a:lstStyle/>
              <a:p>
                <a:pPr>
                  <a:defRPr b="1"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Лист1!$A$2:$A$6</c:f>
              <c:strCache>
                <c:ptCount val="5"/>
                <c:pt idx="0">
                  <c:v>Золото</c:v>
                </c:pt>
                <c:pt idx="1">
                  <c:v>Сталь</c:v>
                </c:pt>
                <c:pt idx="2">
                  <c:v>Энергетический уголь</c:v>
                </c:pt>
                <c:pt idx="3">
                  <c:v>Медь</c:v>
                </c:pt>
                <c:pt idx="4">
                  <c:v>Алюминий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28</c:v>
                </c:pt>
                <c:pt idx="1">
                  <c:v>28</c:v>
                </c:pt>
                <c:pt idx="2">
                  <c:v>15</c:v>
                </c:pt>
                <c:pt idx="3">
                  <c:v>12</c:v>
                </c:pt>
                <c:pt idx="4">
                  <c:v>5</c:v>
                </c:pt>
              </c:numCache>
            </c:numRef>
          </c:val>
        </c:ser>
        <c:gapWidth val="70"/>
        <c:overlap val="-1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spPr>
          <a:ln>
            <a:solidFill>
              <a:srgbClr val="D5D8DE"/>
            </a:solidFill>
          </a:ln>
        </c:spPr>
        <c:crossAx val="222222222"/>
      </c:catAx>
      <c:valAx>
        <c:axId val="222222222"/>
        <c:scaling>
          <c:orientation val="minMax"/>
        </c:scaling>
        <c:delete val="1"/>
        <c:axPos val="l"/>
        <c:crossAx val="111111111"/>
      </c:valAx>
    </c:plotArea>
    <c:legend>
      <c:legendPos val="t"/>
      <c:overlay val="0"/>
    </c:legend>
    <c:plotVisOnly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Доля Китая в мировой переработке, 2025 г., %</c:v>
                </c:pt>
              </c:strCache>
            </c:strRef>
          </c:tx>
          <c:spPr>
            <a:solidFill>
              <a:srgbClr val="002060"/>
            </a:solidFill>
          </c:spPr>
          <c:invertIfNegative val="0"/>
          <c:dLbls>
            <c:txPr>
              <a:bodyPr/>
              <a:lstStyle/>
              <a:p>
                <a:pPr>
                  <a:defRPr b="1"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Лист1!$A$2:$A$10</c:f>
              <c:strCache>
                <c:ptCount val="9"/>
                <c:pt idx="0">
                  <c:v>Медь</c:v>
                </c:pt>
                <c:pt idx="1">
                  <c:v>Цинк</c:v>
                </c:pt>
                <c:pt idx="2">
                  <c:v>Сталь</c:v>
                </c:pt>
                <c:pt idx="3">
                  <c:v>Алюминий</c:v>
                </c:pt>
                <c:pt idx="4">
                  <c:v>Графит</c:v>
                </c:pt>
                <c:pt idx="5">
                  <c:v>Марганец</c:v>
                </c:pt>
                <c:pt idx="6">
                  <c:v>Литий</c:v>
                </c:pt>
                <c:pt idx="7">
                  <c:v>Кобальт</c:v>
                </c:pt>
                <c:pt idx="8">
                  <c:v>Редкоземельные металлы</c:v>
                </c:pt>
              </c:strCache>
            </c:strRef>
          </c:cat>
          <c:val>
            <c:numRef>
              <c:f>Лист1!$B$2:$B$10</c:f>
              <c:numCache>
                <c:formatCode>General</c:formatCode>
                <c:ptCount val="9"/>
                <c:pt idx="0">
                  <c:v>46</c:v>
                </c:pt>
                <c:pt idx="1">
                  <c:v>49</c:v>
                </c:pt>
                <c:pt idx="2">
                  <c:v>52</c:v>
                </c:pt>
                <c:pt idx="3">
                  <c:v>60</c:v>
                </c:pt>
                <c:pt idx="4">
                  <c:v>68</c:v>
                </c:pt>
                <c:pt idx="5">
                  <c:v>69</c:v>
                </c:pt>
                <c:pt idx="6">
                  <c:v>71</c:v>
                </c:pt>
                <c:pt idx="7">
                  <c:v>87</c:v>
                </c:pt>
                <c:pt idx="8">
                  <c:v>90</c:v>
                </c:pt>
              </c:numCache>
            </c:numRef>
          </c:val>
        </c:ser>
        <c:gapWidth val="70"/>
        <c:axId val="111111111"/>
        <c:axId val="222222222"/>
      </c:barChart>
      <c:catAx>
        <c:axId val="111111111"/>
        <c:scaling>
          <c:orientation val="maxMin"/>
        </c:scaling>
        <c:delete val="0"/>
        <c:axPos val="l"/>
        <c:spPr>
          <a:ln>
            <a:solidFill>
              <a:srgbClr val="D5D8DE"/>
            </a:solidFill>
          </a:ln>
        </c:spPr>
        <c:crossAx val="222222222"/>
      </c:catAx>
      <c:valAx>
        <c:axId val="222222222"/>
        <c:scaling>
          <c:orientation val="minMax"/>
        </c:scaling>
        <c:delete val="1"/>
        <c:axPos val="b"/>
        <c:crossAx val="111111111"/>
      </c:valAx>
    </c:plotArea>
    <c:plotVisOnly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Китай</c:v>
                </c:pt>
              </c:strCache>
            </c:strRef>
          </c:tx>
          <c:spPr>
            <a:ln w="28575">
              <a:solidFill>
                <a:srgbClr val="002060"/>
              </a:solidFill>
            </a:ln>
          </c:spPr>
          <c:marker>
            <c:symbol val="circle"/>
            <c:size val="5"/>
            <c:spPr>
              <a:solidFill>
                <a:srgbClr val="002060"/>
              </a:solidFill>
            </c:spPr>
          </c:marker>
          <c:dLbls>
            <c:txPr>
              <a:bodyPr/>
              <a:lstStyle/>
              <a:p>
                <a:pPr>
                  <a:defRPr b="1"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Лист1!$A$2:$A$6</c:f>
              <c:strCache>
                <c:ptCount val="5"/>
                <c:pt idx="0">
                  <c:v>2015</c:v>
                </c:pt>
                <c:pt idx="1">
                  <c:v>2020</c:v>
                </c:pt>
                <c:pt idx="2">
                  <c:v>2025</c:v>
                </c:pt>
                <c:pt idx="3">
                  <c:v>2030</c:v>
                </c:pt>
                <c:pt idx="4">
                  <c:v>2035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39</c:v>
                </c:pt>
                <c:pt idx="1">
                  <c:v>48</c:v>
                </c:pt>
                <c:pt idx="2">
                  <c:v>42</c:v>
                </c:pt>
                <c:pt idx="3">
                  <c:v>39</c:v>
                </c:pt>
                <c:pt idx="4">
                  <c:v>38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Индия</c:v>
                </c:pt>
              </c:strCache>
            </c:strRef>
          </c:tx>
          <c:spPr>
            <a:ln w="28575">
              <a:solidFill>
                <a:srgbClr val="C00000"/>
              </a:solidFill>
            </a:ln>
          </c:spPr>
          <c:marker>
            <c:symbol val="circle"/>
            <c:size val="5"/>
            <c:spPr>
              <a:solidFill>
                <a:srgbClr val="C00000"/>
              </a:solidFill>
            </c:spPr>
          </c:marker>
          <c:dLbls>
            <c:txPr>
              <a:bodyPr/>
              <a:lstStyle/>
              <a:p>
                <a:pPr>
                  <a:defRPr b="1"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Лист1!$A$2:$A$6</c:f>
              <c:strCache>
                <c:ptCount val="5"/>
                <c:pt idx="0">
                  <c:v>2015</c:v>
                </c:pt>
                <c:pt idx="1">
                  <c:v>2020</c:v>
                </c:pt>
                <c:pt idx="2">
                  <c:v>2025</c:v>
                </c:pt>
                <c:pt idx="3">
                  <c:v>2030</c:v>
                </c:pt>
                <c:pt idx="4">
                  <c:v>2035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7</c:v>
                </c:pt>
                <c:pt idx="1">
                  <c:v>6</c:v>
                </c:pt>
                <c:pt idx="2">
                  <c:v>10</c:v>
                </c:pt>
                <c:pt idx="3">
                  <c:v>11</c:v>
                </c:pt>
                <c:pt idx="4">
                  <c:v>12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spPr>
          <a:ln>
            <a:solidFill>
              <a:srgbClr val="D5D8DE"/>
            </a:solidFill>
          </a:ln>
        </c:spPr>
        <c:crossAx val="222222222"/>
      </c:catAx>
      <c:valAx>
        <c:axId val="222222222"/>
        <c:scaling>
          <c:orientation val="minMax"/>
        </c:scaling>
        <c:delete val="1"/>
        <c:axPos val="l"/>
        <c:crossAx val="111111111"/>
      </c:valAx>
    </c:plotArea>
    <c:legend>
      <c:legendPos val="t"/>
      <c:overlay val="0"/>
    </c:legend>
    <c:plotVisOnly val="1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Плата за переработку</c:v>
                </c:pt>
              </c:strCache>
            </c:strRef>
          </c:tx>
          <c:spPr>
            <a:solidFill>
              <a:srgbClr val="002060"/>
            </a:solidFill>
          </c:spPr>
          <c:invertIfNegative val="0"/>
          <c:dLbls>
            <c:txPr>
              <a:bodyPr/>
              <a:lstStyle/>
              <a:p>
                <a:pPr>
                  <a:defRPr b="1"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Лист1!$A$2:$A$4</c:f>
              <c:strCache>
                <c:ptCount val="3"/>
                <c:pt idx="0">
                  <c:v>2015–2024 в среднем</c:v>
                </c:pt>
                <c:pt idx="1">
                  <c:v>2025</c:v>
                </c:pt>
                <c:pt idx="2">
                  <c:v>I полугодие 2026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45</c:v>
                </c:pt>
                <c:pt idx="1">
                  <c:v>11</c:v>
                </c:pt>
                <c:pt idx="2">
                  <c:v>0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Серная кислота</c:v>
                </c:pt>
              </c:strCache>
            </c:strRef>
          </c:tx>
          <c:spPr>
            <a:solidFill>
              <a:srgbClr val="C00000"/>
            </a:solidFill>
          </c:spPr>
          <c:invertIfNegative val="0"/>
          <c:dLbls>
            <c:txPr>
              <a:bodyPr/>
              <a:lstStyle/>
              <a:p>
                <a:pPr>
                  <a:defRPr b="1"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Лист1!$A$2:$A$4</c:f>
              <c:strCache>
                <c:ptCount val="3"/>
                <c:pt idx="0">
                  <c:v>2015–2024 в среднем</c:v>
                </c:pt>
                <c:pt idx="1">
                  <c:v>2025</c:v>
                </c:pt>
                <c:pt idx="2">
                  <c:v>I полугодие 2026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26</c:v>
                </c:pt>
                <c:pt idx="1">
                  <c:v>40</c:v>
                </c:pt>
                <c:pt idx="2">
                  <c:v>65</c:v>
                </c:pt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Прочая попутная продукция</c:v>
                </c:pt>
              </c:strCache>
            </c:strRef>
          </c:tx>
          <c:spPr>
            <a:solidFill>
              <a:srgbClr val="D9A22E"/>
            </a:solidFill>
          </c:spPr>
          <c:invertIfNegative val="0"/>
          <c:dLbls>
            <c:txPr>
              <a:bodyPr/>
              <a:lstStyle/>
              <a:p>
                <a:pPr>
                  <a:defRPr b="1"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Лист1!$A$2:$A$4</c:f>
              <c:strCache>
                <c:ptCount val="3"/>
                <c:pt idx="0">
                  <c:v>2015–2024 в среднем</c:v>
                </c:pt>
                <c:pt idx="1">
                  <c:v>2025</c:v>
                </c:pt>
                <c:pt idx="2">
                  <c:v>I полугодие 2026</c:v>
                </c:pt>
              </c:strCache>
            </c:strRef>
          </c:cat>
          <c:val>
            <c:numRef>
              <c:f>Лист1!$D$2:$D$4</c:f>
              <c:numCache>
                <c:formatCode>General</c:formatCode>
                <c:ptCount val="3"/>
                <c:pt idx="0">
                  <c:v>16</c:v>
                </c:pt>
                <c:pt idx="1">
                  <c:v>33</c:v>
                </c:pt>
                <c:pt idx="2">
                  <c:v>23</c:v>
                </c:pt>
              </c:numCache>
            </c:numRef>
          </c:val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Металл сверх нормы</c:v>
                </c:pt>
              </c:strCache>
            </c:strRef>
          </c:tx>
          <c:spPr>
            <a:solidFill>
              <a:srgbClr val="2E7D6B"/>
            </a:solidFill>
          </c:spPr>
          <c:invertIfNegative val="0"/>
          <c:dLbls>
            <c:txPr>
              <a:bodyPr/>
              <a:lstStyle/>
              <a:p>
                <a:pPr>
                  <a:defRPr b="1"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Лист1!$A$2:$A$4</c:f>
              <c:strCache>
                <c:ptCount val="3"/>
                <c:pt idx="0">
                  <c:v>2015–2024 в среднем</c:v>
                </c:pt>
                <c:pt idx="1">
                  <c:v>2025</c:v>
                </c:pt>
                <c:pt idx="2">
                  <c:v>I полугодие 2026</c:v>
                </c:pt>
              </c:strCache>
            </c:strRef>
          </c:cat>
          <c:val>
            <c:numRef>
              <c:f>Лист1!$E$2:$E$4</c:f>
              <c:numCache>
                <c:formatCode>General</c:formatCode>
                <c:ptCount val="3"/>
                <c:pt idx="0">
                  <c:v>13</c:v>
                </c:pt>
                <c:pt idx="1">
                  <c:v>17</c:v>
                </c:pt>
                <c:pt idx="2">
                  <c:v>12</c:v>
                </c:pt>
              </c:numCache>
            </c:numRef>
          </c:val>
        </c:ser>
        <c:gapWidth val="70"/>
        <c:overlap val="-1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spPr>
          <a:ln>
            <a:solidFill>
              <a:srgbClr val="D5D8DE"/>
            </a:solidFill>
          </a:ln>
        </c:spPr>
        <c:crossAx val="222222222"/>
      </c:catAx>
      <c:valAx>
        <c:axId val="222222222"/>
        <c:scaling>
          <c:orientation val="minMax"/>
        </c:scaling>
        <c:delete val="1"/>
        <c:axPos val="l"/>
        <c:crossAx val="111111111"/>
      </c:valAx>
    </c:plotArea>
    <c:legend>
      <c:legendPos val="t"/>
      <c:overlay val="0"/>
    </c:legend>
    <c:plotVisOnly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