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mbria" w:hAnsi="Cambria"/>
          <w:b/>
          <w:i w:val="0"/>
          <w:sz w:val="30"/>
        </w:rPr>
        <w:t>Источники — Рекордная прибыль металлургии и новые торговые барьеры</w:t>
      </w:r>
    </w:p>
    <w:p>
      <w:pPr>
        <w:spacing w:before="0" w:after="200"/>
      </w:pPr>
      <w:r>
        <w:rPr>
          <w:rFonts w:ascii="Cambria" w:hAnsi="Cambria"/>
          <w:b w:val="0"/>
          <w:i/>
          <w:sz w:val="20"/>
        </w:rPr>
        <w:t>Рабочее приложение: перечень фактов, использованных в записке, с указанием происхождения. Не является частью формата ИАР — внутренний документ для проверки.</w:t>
      </w:r>
    </w:p>
    <w:p>
      <w:pPr>
        <w:spacing w:before="240" w:after="80"/>
      </w:pPr>
      <w:r>
        <w:rPr>
          <w:rFonts w:ascii="Cambria" w:hAnsi="Cambria"/>
          <w:b/>
          <w:i w:val="0"/>
          <w:sz w:val="26"/>
        </w:rPr>
        <w:t>I. Сведения из основного доклада</w:t>
      </w:r>
    </w:p>
    <w:tbl>
      <w:tblPr>
        <w:tblStyle w:val="TableGrid"/>
        <w:tblW w:type="auto" w:w="0"/>
        <w:jc w:val="center"/>
        <w:tblLook w:firstColumn="1" w:firstRow="1" w:lastColumn="0" w:lastRow="0" w:noHBand="0" w:noVBand="1" w:val="04A0"/>
      </w:tblPr>
      <w:tblGrid>
        <w:gridCol w:w="2828"/>
        <w:gridCol w:w="2828"/>
        <w:gridCol w:w="2828"/>
        <w:gridCol w:w="2828"/>
        <w:gridCol w:w="2828"/>
      </w:tblGrid>
      <w:tr>
        <w:tc>
          <w:tcPr>
            <w:tcW w:type="dxa" w:w="567"/>
            <w:shd w:val="clear" w:color="auto" w:fill="D9D9D9"/>
          </w:tcPr>
          <w:p>
            <w:r/>
            <w:r>
              <w:rPr>
                <w:rFonts w:ascii="Cambria" w:hAnsi="Cambria"/>
                <w:b/>
                <w:sz w:val="20"/>
              </w:rPr>
              <w:t>№</w:t>
            </w:r>
          </w:p>
        </w:tc>
        <w:tc>
          <w:tcPr>
            <w:tcW w:type="dxa" w:w="1247"/>
            <w:shd w:val="clear" w:color="auto" w:fill="D9D9D9"/>
          </w:tcPr>
          <w:p>
            <w:r/>
            <w:r>
              <w:rPr>
                <w:rFonts w:ascii="Cambria" w:hAnsi="Cambria"/>
                <w:b/>
                <w:sz w:val="20"/>
              </w:rPr>
              <w:t>Раздел</w:t>
            </w:r>
          </w:p>
        </w:tc>
        <w:tc>
          <w:tcPr>
            <w:tcW w:type="dxa" w:w="1701"/>
            <w:shd w:val="clear" w:color="auto" w:fill="D9D9D9"/>
          </w:tcPr>
          <w:p>
            <w:r/>
            <w:r>
              <w:rPr>
                <w:rFonts w:ascii="Cambria" w:hAnsi="Cambria"/>
                <w:b/>
                <w:sz w:val="20"/>
              </w:rPr>
              <w:t>Место в докладе</w:t>
            </w:r>
          </w:p>
        </w:tc>
        <w:tc>
          <w:tcPr>
            <w:tcW w:type="dxa" w:w="3402"/>
            <w:shd w:val="clear" w:color="auto" w:fill="D9D9D9"/>
          </w:tcPr>
          <w:p>
            <w:r/>
            <w:r>
              <w:rPr>
                <w:rFonts w:ascii="Cambria" w:hAnsi="Cambria"/>
                <w:b/>
                <w:sz w:val="20"/>
              </w:rPr>
              <w:t>Текст/факт доклада (оригинал)</w:t>
            </w:r>
          </w:p>
        </w:tc>
        <w:tc>
          <w:tcPr>
            <w:tcW w:type="dxa" w:w="3402"/>
            <w:shd w:val="clear" w:color="auto" w:fill="D9D9D9"/>
          </w:tcPr>
          <w:p>
            <w:r/>
            <w:r>
              <w:rPr>
                <w:rFonts w:ascii="Cambria" w:hAnsi="Cambria"/>
                <w:b/>
                <w:sz w:val="20"/>
              </w:rPr>
              <w:t>Использовано в записке</w:t>
            </w:r>
          </w:p>
        </w:tc>
      </w:tr>
      <w:tr>
        <w:tc>
          <w:tcPr>
            <w:tcW w:type="dxa" w:w="567"/>
          </w:tcPr>
          <w:p>
            <w:pPr>
              <w:spacing w:after="40"/>
            </w:pPr>
            <w:r>
              <w:rPr>
                <w:rFonts w:ascii="Cambria" w:hAnsi="Cambria"/>
                <w:sz w:val="20"/>
              </w:rPr>
              <w:t>1</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3 (Key takeaways 1/5)</w:t>
            </w:r>
          </w:p>
        </w:tc>
        <w:tc>
          <w:tcPr>
            <w:tcW w:type="dxa" w:w="3402"/>
          </w:tcPr>
          <w:p>
            <w:pPr>
              <w:spacing w:after="40"/>
            </w:pPr>
            <w:r>
              <w:rPr>
                <w:rFonts w:ascii="Cambria" w:hAnsi="Cambria"/>
                <w:sz w:val="20"/>
              </w:rPr>
              <w:t>The industry's EBITDA margins averaged 27 percent in 2025 (up from 19 percent in 2015), aggregate EBITDA totaled over $0.8 trillion, and market capitalization reached a record $3.7 trillion (an increase of approximately 230 percent from 2015 to 2025).</w:t>
            </w:r>
          </w:p>
        </w:tc>
        <w:tc>
          <w:tcPr>
            <w:tcW w:type="dxa" w:w="3402"/>
          </w:tcPr>
          <w:p>
            <w:pPr>
              <w:spacing w:after="40"/>
            </w:pPr>
            <w:r>
              <w:rPr>
                <w:rFonts w:ascii="Cambria" w:hAnsi="Cambria"/>
                <w:sz w:val="20"/>
              </w:rPr>
              <w:t>По оценке Маккинзи, операционная рентабельность горно-металлургических компаний в 2025 г. достигла 27% против 19% в 2015 г., а рыночная капитализация выросла на 230% до рекордных $3,7 трлн.</w:t>
            </w:r>
          </w:p>
        </w:tc>
      </w:tr>
      <w:tr>
        <w:tc>
          <w:tcPr>
            <w:tcW w:type="dxa" w:w="567"/>
          </w:tcPr>
          <w:p>
            <w:pPr>
              <w:spacing w:after="40"/>
            </w:pPr>
            <w:r>
              <w:rPr>
                <w:rFonts w:ascii="Cambria" w:hAnsi="Cambria"/>
                <w:sz w:val="20"/>
              </w:rPr>
              <w:t>2</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3</w:t>
            </w:r>
          </w:p>
        </w:tc>
        <w:tc>
          <w:tcPr>
            <w:tcW w:type="dxa" w:w="3402"/>
          </w:tcPr>
          <w:p>
            <w:pPr>
              <w:spacing w:after="40"/>
            </w:pPr>
            <w:r>
              <w:rPr>
                <w:rFonts w:ascii="Cambria" w:hAnsi="Cambria"/>
                <w:sz w:val="20"/>
              </w:rPr>
              <w:t>Metals and mining revenues grew only about 1 percent in 2025, with volumes largely flat, labor productivity unchanged, and capital productivity declining.</w:t>
            </w:r>
          </w:p>
        </w:tc>
        <w:tc>
          <w:tcPr>
            <w:tcW w:type="dxa" w:w="3402"/>
          </w:tcPr>
          <w:p>
            <w:pPr>
              <w:spacing w:after="40"/>
            </w:pPr>
            <w:r>
              <w:rPr>
                <w:rFonts w:ascii="Cambria" w:hAnsi="Cambria"/>
                <w:sz w:val="20"/>
              </w:rPr>
              <w:t>При этом выручка выросла лишь на 1%, объёмы производства почти не изменились, производительность труда осталась прежней, а отдача от капитала снизилась.</w:t>
            </w:r>
          </w:p>
        </w:tc>
      </w:tr>
      <w:tr>
        <w:tc>
          <w:tcPr>
            <w:tcW w:type="dxa" w:w="567"/>
          </w:tcPr>
          <w:p>
            <w:pPr>
              <w:spacing w:after="40"/>
            </w:pPr>
            <w:r>
              <w:rPr>
                <w:rFonts w:ascii="Cambria" w:hAnsi="Cambria"/>
                <w:sz w:val="20"/>
              </w:rPr>
              <w:t>3</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3, 14</w:t>
            </w:r>
          </w:p>
        </w:tc>
        <w:tc>
          <w:tcPr>
            <w:tcW w:type="dxa" w:w="3402"/>
          </w:tcPr>
          <w:p>
            <w:pPr>
              <w:spacing w:after="40"/>
            </w:pPr>
            <w:r>
              <w:rPr>
                <w:rFonts w:ascii="Cambria" w:hAnsi="Cambria"/>
                <w:sz w:val="20"/>
              </w:rPr>
              <w:t>gold (where prices increased 45 percent year on year) and copper (9 percent)... Gold overtook steel and thermal coal in the EBITDA pool for the first time ever in 2025 and accounted for 28 percent; gold share of EBITDA jumped from 18 percent to 28 percent in a single year.</w:t>
            </w:r>
          </w:p>
        </w:tc>
        <w:tc>
          <w:tcPr>
            <w:tcW w:type="dxa" w:w="3402"/>
          </w:tcPr>
          <w:p>
            <w:pPr>
              <w:spacing w:after="40"/>
            </w:pPr>
            <w:r>
              <w:rPr>
                <w:rFonts w:ascii="Cambria" w:hAnsi="Cambria"/>
                <w:sz w:val="20"/>
              </w:rPr>
              <w:t>Рост маржи связан со сдвигом в пользу дорогих металлов. Золото за год подорожало на 45%, медь на 9%, и в 2025 г. золото впервые обогнало сталь и энергетический уголь, обеспечив 28% операционной прибыли отрасли против 18% годом ранее.</w:t>
            </w:r>
          </w:p>
        </w:tc>
      </w:tr>
      <w:tr>
        <w:tc>
          <w:tcPr>
            <w:tcW w:type="dxa" w:w="567"/>
          </w:tcPr>
          <w:p>
            <w:pPr>
              <w:spacing w:after="40"/>
            </w:pPr>
            <w:r>
              <w:rPr>
                <w:rFonts w:ascii="Cambria" w:hAnsi="Cambria"/>
                <w:sz w:val="20"/>
              </w:rPr>
              <w:t>4</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7, 63</w:t>
            </w:r>
          </w:p>
        </w:tc>
        <w:tc>
          <w:tcPr>
            <w:tcW w:type="dxa" w:w="3402"/>
          </w:tcPr>
          <w:p>
            <w:pPr>
              <w:spacing w:after="40"/>
            </w:pPr>
            <w:r>
              <w:rPr>
                <w:rFonts w:ascii="Cambria" w:hAnsi="Cambria"/>
                <w:sz w:val="20"/>
              </w:rPr>
              <w:t>Reinvestment gap; margins cyclical, not structural... When prices normalize, productivity may be the primary source of margin expansion.</w:t>
            </w:r>
          </w:p>
        </w:tc>
        <w:tc>
          <w:tcPr>
            <w:tcW w:type="dxa" w:w="3402"/>
          </w:tcPr>
          <w:p>
            <w:pPr>
              <w:spacing w:after="40"/>
            </w:pPr>
            <w:r>
              <w:rPr>
                <w:rFonts w:ascii="Cambria" w:hAnsi="Cambria"/>
                <w:sz w:val="20"/>
              </w:rPr>
              <w:t>Авторы доклада подчёркивают, что такая маржа носит циклический, а не структурный характер.</w:t>
            </w:r>
          </w:p>
        </w:tc>
      </w:tr>
      <w:tr>
        <w:tc>
          <w:tcPr>
            <w:tcW w:type="dxa" w:w="567"/>
          </w:tcPr>
          <w:p>
            <w:pPr>
              <w:spacing w:after="40"/>
            </w:pPr>
            <w:r>
              <w:rPr>
                <w:rFonts w:ascii="Cambria" w:hAnsi="Cambria"/>
                <w:sz w:val="20"/>
              </w:rPr>
              <w:t>6</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18</w:t>
            </w:r>
          </w:p>
        </w:tc>
        <w:tc>
          <w:tcPr>
            <w:tcW w:type="dxa" w:w="3402"/>
          </w:tcPr>
          <w:p>
            <w:pPr>
              <w:spacing w:after="40"/>
            </w:pPr>
            <w:r>
              <w:rPr>
                <w:rFonts w:ascii="Cambria" w:hAnsi="Cambria"/>
                <w:sz w:val="20"/>
              </w:rPr>
              <w:t>Mining share of EBITDA pool, % — Steel value chain 30 (2015), 67 (2020), 65 (2025); Copper 49, 75, 88.</w:t>
            </w:r>
          </w:p>
        </w:tc>
        <w:tc>
          <w:tcPr>
            <w:tcW w:type="dxa" w:w="3402"/>
          </w:tcPr>
          <w:p>
            <w:pPr>
              <w:spacing w:after="40"/>
            </w:pPr>
            <w:r>
              <w:rPr>
                <w:rFonts w:ascii="Cambria" w:hAnsi="Cambria"/>
                <w:sz w:val="20"/>
              </w:rPr>
              <w:t>Согласно докладу, доля добывающего звена в операционной прибыли медной цепочки выросла с 49% в 2015 г. до 88% в 2025 г., в стальной цепочке с 30% до 65%.</w:t>
            </w:r>
          </w:p>
        </w:tc>
      </w:tr>
      <w:tr>
        <w:tc>
          <w:tcPr>
            <w:tcW w:type="dxa" w:w="567"/>
          </w:tcPr>
          <w:p>
            <w:pPr>
              <w:spacing w:after="40"/>
            </w:pPr>
            <w:r>
              <w:rPr>
                <w:rFonts w:ascii="Cambria" w:hAnsi="Cambria"/>
                <w:sz w:val="20"/>
              </w:rPr>
              <w:t>7</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18</w:t>
            </w:r>
          </w:p>
        </w:tc>
        <w:tc>
          <w:tcPr>
            <w:tcW w:type="dxa" w:w="3402"/>
          </w:tcPr>
          <w:p>
            <w:pPr>
              <w:spacing w:after="40"/>
            </w:pPr>
            <w:r>
              <w:rPr>
                <w:rFonts w:ascii="Cambria" w:hAnsi="Cambria"/>
                <w:sz w:val="20"/>
              </w:rPr>
              <w:t>In copper, exploration and development of new mines have not kept pace with smelting capacity growth, leading to higher returns for mining operations controlling scarcer supply—and lower returns for processing operations.</w:t>
            </w:r>
          </w:p>
        </w:tc>
        <w:tc>
          <w:tcPr>
            <w:tcW w:type="dxa" w:w="3402"/>
          </w:tcPr>
          <w:p>
            <w:pPr>
              <w:spacing w:after="40"/>
            </w:pPr>
            <w:r>
              <w:rPr>
                <w:rFonts w:ascii="Cambria" w:hAnsi="Cambria"/>
                <w:sz w:val="20"/>
              </w:rPr>
              <w:t>Это связано с избытком плавильных мощностей, поскольку ввод новых рудников отстаёт от строительства заводов, и дефицитный концентрат дорожает.</w:t>
            </w:r>
          </w:p>
        </w:tc>
      </w:tr>
      <w:tr>
        <w:tc>
          <w:tcPr>
            <w:tcW w:type="dxa" w:w="567"/>
          </w:tcPr>
          <w:p>
            <w:pPr>
              <w:spacing w:after="40"/>
            </w:pPr>
            <w:r>
              <w:rPr>
                <w:rFonts w:ascii="Cambria" w:hAnsi="Cambria"/>
                <w:sz w:val="20"/>
              </w:rPr>
              <w:t>8</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19</w:t>
            </w:r>
          </w:p>
        </w:tc>
        <w:tc>
          <w:tcPr>
            <w:tcW w:type="dxa" w:w="3402"/>
          </w:tcPr>
          <w:p>
            <w:pPr>
              <w:spacing w:after="40"/>
            </w:pPr>
            <w:r>
              <w:rPr>
                <w:rFonts w:ascii="Cambria" w:hAnsi="Cambria"/>
                <w:sz w:val="20"/>
              </w:rPr>
              <w:t>Smelter value generation per metric ton of concentrate, copper: TC/RC 45% (2015–24 average), 11% (2025), 0 (first half of 2026); sulfuric acid 26%, 40%, 65%.</w:t>
            </w:r>
          </w:p>
        </w:tc>
        <w:tc>
          <w:tcPr>
            <w:tcW w:type="dxa" w:w="3402"/>
          </w:tcPr>
          <w:p>
            <w:pPr>
              <w:spacing w:after="40"/>
            </w:pPr>
            <w:r>
              <w:rPr>
                <w:rFonts w:ascii="Cambria" w:hAnsi="Cambria"/>
                <w:sz w:val="20"/>
              </w:rPr>
              <w:t>В результате плата за переработку концентрата сократилась с 45% дохода медеплавильного завода в среднем за 2015–2024 гг. до 11% в 2025 г. и до нуля в первом полугодии 2026 г., а 65% дохода теперь даёт серная кислота.</w:t>
            </w:r>
          </w:p>
        </w:tc>
      </w:tr>
      <w:tr>
        <w:tc>
          <w:tcPr>
            <w:tcW w:type="dxa" w:w="567"/>
          </w:tcPr>
          <w:p>
            <w:pPr>
              <w:spacing w:after="40"/>
            </w:pPr>
            <w:r>
              <w:rPr>
                <w:rFonts w:ascii="Cambria" w:hAnsi="Cambria"/>
                <w:sz w:val="20"/>
              </w:rPr>
              <w:t>9</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33</w:t>
            </w:r>
          </w:p>
        </w:tc>
        <w:tc>
          <w:tcPr>
            <w:tcW w:type="dxa" w:w="3402"/>
          </w:tcPr>
          <w:p>
            <w:pPr>
              <w:spacing w:after="40"/>
            </w:pPr>
            <w:r>
              <w:rPr>
                <w:rFonts w:ascii="Cambria" w:hAnsi="Cambria"/>
                <w:sz w:val="20"/>
              </w:rPr>
              <w:t>Sulfur price, China daily spot: 612 (Feb 2026) → 1,535 (Jun 2026). Share of operating cost attributed to sulfur at $1,000/t: copper leaching (SXEW) 39, nickel leaching (HPAL) 46, uranium ISL 38, uranium conventional 20.</w:t>
            </w:r>
          </w:p>
        </w:tc>
        <w:tc>
          <w:tcPr>
            <w:tcW w:type="dxa" w:w="3402"/>
          </w:tcPr>
          <w:p>
            <w:pPr>
              <w:spacing w:after="40"/>
            </w:pPr>
            <w:r>
              <w:rPr>
                <w:rFonts w:ascii="Cambria" w:hAnsi="Cambria"/>
                <w:sz w:val="20"/>
              </w:rPr>
              <w:t>Обратная сторона – удорожание серы после закрытия Ормузского пролива, с февраля по июнь 2026 г. её цена в Китае выросла с $612 до $1,5 тыс. за тонну. При цене $1 тыс. сера и серная кислота составляют до 39% операционных затрат при выщелачивании меди, 38% при добыче урана и 46% у никеля.</w:t>
            </w:r>
          </w:p>
        </w:tc>
      </w:tr>
      <w:tr>
        <w:tc>
          <w:tcPr>
            <w:tcW w:type="dxa" w:w="567"/>
          </w:tcPr>
          <w:p>
            <w:pPr>
              <w:spacing w:after="40"/>
            </w:pPr>
            <w:r>
              <w:rPr>
                <w:rFonts w:ascii="Cambria" w:hAnsi="Cambria"/>
                <w:sz w:val="20"/>
              </w:rPr>
              <w:t>11</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25, 26</w:t>
            </w:r>
          </w:p>
        </w:tc>
        <w:tc>
          <w:tcPr>
            <w:tcW w:type="dxa" w:w="3402"/>
          </w:tcPr>
          <w:p>
            <w:pPr>
              <w:spacing w:after="40"/>
            </w:pPr>
            <w:r>
              <w:rPr>
                <w:rFonts w:ascii="Cambria" w:hAnsi="Cambria"/>
                <w:sz w:val="20"/>
              </w:rPr>
              <w:t>Across the top 15 commodities, the top three countries' average share rose from 66 percent in 2020 to 69 percent in 2025... Refined: 2020 average 71, 2024 and 2025 average 74.</w:t>
            </w:r>
          </w:p>
        </w:tc>
        <w:tc>
          <w:tcPr>
            <w:tcW w:type="dxa" w:w="3402"/>
          </w:tcPr>
          <w:p>
            <w:pPr>
              <w:spacing w:after="40"/>
            </w:pPr>
            <w:r>
              <w:rPr>
                <w:rFonts w:ascii="Cambria" w:hAnsi="Cambria"/>
                <w:sz w:val="20"/>
              </w:rPr>
              <w:t>По данным доклада, по 15 крупнейшим видам сырья средняя доля трёх ведущих стран в добыче выросла с 66% в 2020 г. до 69% в 2025 г., в переработке с 71% до 74%.</w:t>
            </w:r>
          </w:p>
        </w:tc>
      </w:tr>
      <w:tr>
        <w:tc>
          <w:tcPr>
            <w:tcW w:type="dxa" w:w="567"/>
          </w:tcPr>
          <w:p>
            <w:pPr>
              <w:spacing w:after="40"/>
            </w:pPr>
            <w:r>
              <w:rPr>
                <w:rFonts w:ascii="Cambria" w:hAnsi="Cambria"/>
                <w:sz w:val="20"/>
              </w:rPr>
              <w:t>12</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26, 41</w:t>
            </w:r>
          </w:p>
        </w:tc>
        <w:tc>
          <w:tcPr>
            <w:tcW w:type="dxa" w:w="3402"/>
          </w:tcPr>
          <w:p>
            <w:pPr>
              <w:spacing w:after="40"/>
            </w:pPr>
            <w:r>
              <w:rPr>
                <w:rFonts w:ascii="Cambria" w:hAnsi="Cambria"/>
                <w:sz w:val="20"/>
              </w:rPr>
              <w:t>China accounting for the largest share in all but nickel (Indonesia), palladium (Russia), and platinum (South Africa)... China accounts for 34% of new assets over 2021–25; 21% of new mining assets; and 52% of new refining assets.</w:t>
            </w:r>
          </w:p>
        </w:tc>
        <w:tc>
          <w:tcPr>
            <w:tcW w:type="dxa" w:w="3402"/>
          </w:tcPr>
          <w:p>
            <w:pPr>
              <w:spacing w:after="40"/>
            </w:pPr>
            <w:r>
              <w:rPr>
                <w:rFonts w:ascii="Cambria" w:hAnsi="Cambria"/>
                <w:sz w:val="20"/>
              </w:rPr>
              <w:t>Китай лидирует в переработке всех ключевых металлов, кроме никеля, палладия и платины, а китайские компании обеспечили 34% новых мощностей 2021–2025 гг. и 52% новых перерабатывающих заводов.</w:t>
            </w:r>
          </w:p>
        </w:tc>
      </w:tr>
      <w:tr>
        <w:tc>
          <w:tcPr>
            <w:tcW w:type="dxa" w:w="567"/>
          </w:tcPr>
          <w:p>
            <w:pPr>
              <w:spacing w:after="40"/>
            </w:pPr>
            <w:r>
              <w:rPr>
                <w:rFonts w:ascii="Cambria" w:hAnsi="Cambria"/>
                <w:sz w:val="20"/>
              </w:rPr>
              <w:t>13</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28</w:t>
            </w:r>
          </w:p>
        </w:tc>
        <w:tc>
          <w:tcPr>
            <w:tcW w:type="dxa" w:w="3402"/>
          </w:tcPr>
          <w:p>
            <w:pPr>
              <w:spacing w:after="40"/>
            </w:pPr>
            <w:r>
              <w:rPr>
                <w:rFonts w:ascii="Cambria" w:hAnsi="Cambria"/>
                <w:sz w:val="20"/>
              </w:rPr>
              <w:t>Of the 13 commodities that have both high critical-mineral importance and high production concentration, nine now have trade barriers imposed by a top three supplying country.</w:t>
            </w:r>
          </w:p>
        </w:tc>
        <w:tc>
          <w:tcPr>
            <w:tcW w:type="dxa" w:w="3402"/>
          </w:tcPr>
          <w:p>
            <w:pPr>
              <w:spacing w:after="40"/>
            </w:pPr>
            <w:r>
              <w:rPr>
                <w:rFonts w:ascii="Cambria" w:hAnsi="Cambria"/>
                <w:sz w:val="20"/>
              </w:rPr>
              <w:t>Из 13 видов сырья с высокой концентрацией и высокой значимостью для промышленности девять уже находятся под экспортными барьерами стран-поставщиков.</w:t>
            </w:r>
          </w:p>
        </w:tc>
      </w:tr>
      <w:tr>
        <w:tc>
          <w:tcPr>
            <w:tcW w:type="dxa" w:w="567"/>
          </w:tcPr>
          <w:p>
            <w:pPr>
              <w:spacing w:after="40"/>
            </w:pPr>
            <w:r>
              <w:rPr>
                <w:rFonts w:ascii="Cambria" w:hAnsi="Cambria"/>
                <w:sz w:val="20"/>
              </w:rPr>
              <w:t>16</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4, 12</w:t>
            </w:r>
          </w:p>
        </w:tc>
        <w:tc>
          <w:tcPr>
            <w:tcW w:type="dxa" w:w="3402"/>
          </w:tcPr>
          <w:p>
            <w:pPr>
              <w:spacing w:after="40"/>
            </w:pPr>
            <w:r>
              <w:rPr>
                <w:rFonts w:ascii="Cambria" w:hAnsi="Cambria"/>
                <w:sz w:val="20"/>
              </w:rPr>
              <w:t>US aluminum prices peaked more than 60 percent above those in China... pushed US prices past $6,200 per metric ton by mid-2026.</w:t>
            </w:r>
          </w:p>
        </w:tc>
        <w:tc>
          <w:tcPr>
            <w:tcW w:type="dxa" w:w="3402"/>
          </w:tcPr>
          <w:p>
            <w:pPr>
              <w:spacing w:after="40"/>
            </w:pPr>
            <w:r>
              <w:rPr>
                <w:rFonts w:ascii="Cambria" w:hAnsi="Cambria"/>
                <w:sz w:val="20"/>
              </w:rPr>
              <w:t>Согласно докладу, после повышения пошлины США до 50% цена алюминия в стране к середине 2026 г. превысила $6,2 тыс. за тонну, что более чем на 60% выше китайской.</w:t>
            </w:r>
          </w:p>
        </w:tc>
      </w:tr>
      <w:tr>
        <w:tc>
          <w:tcPr>
            <w:tcW w:type="dxa" w:w="567"/>
          </w:tcPr>
          <w:p>
            <w:pPr>
              <w:spacing w:after="40"/>
            </w:pPr>
            <w:r>
              <w:rPr>
                <w:rFonts w:ascii="Cambria" w:hAnsi="Cambria"/>
                <w:sz w:val="20"/>
              </w:rPr>
              <w:t>17</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13</w:t>
            </w:r>
          </w:p>
        </w:tc>
        <w:tc>
          <w:tcPr>
            <w:tcW w:type="dxa" w:w="3402"/>
          </w:tcPr>
          <w:p>
            <w:pPr>
              <w:spacing w:after="40"/>
            </w:pPr>
            <w:r>
              <w:rPr>
                <w:rFonts w:ascii="Cambria" w:hAnsi="Cambria"/>
                <w:sz w:val="20"/>
              </w:rPr>
              <w:t>materials costs for C-class BEVs and ICE vehicles rose by about 57 percent and 56 percent... Chinese manufacturers about 29 percent... the cost gap more than doubled, from about $500 per vehicle in 2025 to roughly $1,200 to $1,400 in 2026.</w:t>
            </w:r>
          </w:p>
        </w:tc>
        <w:tc>
          <w:tcPr>
            <w:tcW w:type="dxa" w:w="3402"/>
          </w:tcPr>
          <w:p>
            <w:pPr>
              <w:spacing w:after="40"/>
            </w:pPr>
            <w:r>
              <w:rPr>
                <w:rFonts w:ascii="Cambria" w:hAnsi="Cambria"/>
                <w:sz w:val="20"/>
              </w:rPr>
              <w:t>Стоимость металлов в американском электромобиле среднего класса выросла на 57%, в китайском на 29%, а разрыв в затратах увеличился с $500 до $1,2–1,4 тыс. на автомобиль.</w:t>
            </w:r>
          </w:p>
        </w:tc>
      </w:tr>
      <w:tr>
        <w:tc>
          <w:tcPr>
            <w:tcW w:type="dxa" w:w="567"/>
          </w:tcPr>
          <w:p>
            <w:pPr>
              <w:spacing w:after="40"/>
            </w:pPr>
            <w:r>
              <w:rPr>
                <w:rFonts w:ascii="Cambria" w:hAnsi="Cambria"/>
                <w:sz w:val="20"/>
              </w:rPr>
              <w:t>18</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29</w:t>
            </w:r>
          </w:p>
        </w:tc>
        <w:tc>
          <w:tcPr>
            <w:tcW w:type="dxa" w:w="3402"/>
          </w:tcPr>
          <w:p>
            <w:pPr>
              <w:spacing w:after="40"/>
            </w:pPr>
            <w:r>
              <w:rPr>
                <w:rFonts w:ascii="Cambria" w:hAnsi="Cambria"/>
                <w:sz w:val="20"/>
              </w:rPr>
              <w:t>The European Union, the United States, Japan, and Russia restrict outbound flows of scrap with duties, licenses, quotas, orders, and bans. China, Türkiye, and India... have introduced measures aimed at restricting imports to higher-quality grades.</w:t>
            </w:r>
          </w:p>
        </w:tc>
        <w:tc>
          <w:tcPr>
            <w:tcW w:type="dxa" w:w="3402"/>
          </w:tcPr>
          <w:p>
            <w:pPr>
              <w:spacing w:after="40"/>
            </w:pPr>
            <w:r>
              <w:rPr>
                <w:rFonts w:ascii="Cambria" w:hAnsi="Cambria"/>
                <w:sz w:val="20"/>
              </w:rPr>
              <w:t>ЕС, США, Япония и Россия ограничивают вывоз лома как более дешёвого и менее углеродоёмкого сырья, а Китай, Турция и Индия ужесточают требования к качеству ввозимого лома.</w:t>
            </w:r>
          </w:p>
        </w:tc>
      </w:tr>
      <w:tr>
        <w:tc>
          <w:tcPr>
            <w:tcW w:type="dxa" w:w="567"/>
          </w:tcPr>
          <w:p>
            <w:pPr>
              <w:spacing w:after="40"/>
            </w:pPr>
            <w:r>
              <w:rPr>
                <w:rFonts w:ascii="Cambria" w:hAnsi="Cambria"/>
                <w:sz w:val="20"/>
              </w:rPr>
              <w:t>20</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40</w:t>
            </w:r>
          </w:p>
        </w:tc>
        <w:tc>
          <w:tcPr>
            <w:tcW w:type="dxa" w:w="3402"/>
          </w:tcPr>
          <w:p>
            <w:pPr>
              <w:spacing w:after="40"/>
            </w:pPr>
            <w:r>
              <w:rPr>
                <w:rFonts w:ascii="Cambria" w:hAnsi="Cambria"/>
                <w:sz w:val="20"/>
              </w:rPr>
              <w:t>China's share... peaked at 48 percent in 2020... fallen to 42 percent in 2025... India's share has risen from 6 percent in 2020 to 10 percent in 2025 and is expected to reach 12 percent by 2035.</w:t>
            </w:r>
          </w:p>
        </w:tc>
        <w:tc>
          <w:tcPr>
            <w:tcW w:type="dxa" w:w="3402"/>
          </w:tcPr>
          <w:p>
            <w:pPr>
              <w:spacing w:after="40"/>
            </w:pPr>
            <w:r>
              <w:rPr>
                <w:rFonts w:ascii="Cambria" w:hAnsi="Cambria"/>
                <w:sz w:val="20"/>
              </w:rPr>
              <w:t>По прогнозу Маккинзи, доля Китая в мировой выручке от металлов, достигнув пика в 48% в 2020 г., снизится с 42% в 2025 г. до 38% в 2035 г., тогда как доля Индии вырастет с 6% в 2020 г. до 12%.</w:t>
            </w:r>
          </w:p>
        </w:tc>
      </w:tr>
      <w:tr>
        <w:tc>
          <w:tcPr>
            <w:tcW w:type="dxa" w:w="567"/>
          </w:tcPr>
          <w:p>
            <w:pPr>
              <w:spacing w:after="40"/>
            </w:pPr>
            <w:r>
              <w:rPr>
                <w:rFonts w:ascii="Cambria" w:hAnsi="Cambria"/>
                <w:sz w:val="20"/>
              </w:rPr>
              <w:t>21</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38, 39</w:t>
            </w:r>
          </w:p>
        </w:tc>
        <w:tc>
          <w:tcPr>
            <w:tcW w:type="dxa" w:w="3402"/>
          </w:tcPr>
          <w:p>
            <w:pPr>
              <w:spacing w:after="40"/>
            </w:pPr>
            <w:r>
              <w:rPr>
                <w:rFonts w:ascii="Cambria" w:hAnsi="Cambria"/>
                <w:sz w:val="20"/>
              </w:rPr>
              <w:t>from 84 gigawatts (GW) in 2025 to nearly 600 GW by 2040... about 6.2 percent of global gallium demand... copper (about 4.3 percent).</w:t>
            </w:r>
          </w:p>
        </w:tc>
        <w:tc>
          <w:tcPr>
            <w:tcW w:type="dxa" w:w="3402"/>
          </w:tcPr>
          <w:p>
            <w:pPr>
              <w:spacing w:after="40"/>
            </w:pPr>
            <w:r>
              <w:rPr>
                <w:rFonts w:ascii="Cambria" w:hAnsi="Cambria"/>
                <w:sz w:val="20"/>
              </w:rPr>
              <w:t>Мощность центров обработки данных вырастет с 84 ГВт в 2025 г. почти до 600 ГВт к 2040 г., и к 2030 г. на них придётся 6,2% мирового спроса на галлий и 4,3% на медь.</w:t>
            </w:r>
          </w:p>
        </w:tc>
      </w:tr>
      <w:tr>
        <w:tc>
          <w:tcPr>
            <w:tcW w:type="dxa" w:w="567"/>
          </w:tcPr>
          <w:p>
            <w:pPr>
              <w:spacing w:after="40"/>
            </w:pPr>
            <w:r>
              <w:rPr>
                <w:rFonts w:ascii="Cambria" w:hAnsi="Cambria"/>
                <w:sz w:val="20"/>
              </w:rPr>
              <w:t>22</w:t>
            </w:r>
          </w:p>
        </w:tc>
        <w:tc>
          <w:tcPr>
            <w:tcW w:type="dxa" w:w="1247"/>
          </w:tcPr>
          <w:p>
            <w:pPr>
              <w:spacing w:after="40"/>
            </w:pPr>
            <w:r>
              <w:rPr>
                <w:rFonts w:ascii="Cambria" w:hAnsi="Cambria"/>
                <w:sz w:val="20"/>
              </w:rPr>
              <w:t>№1 (вывод)</w:t>
            </w:r>
          </w:p>
        </w:tc>
        <w:tc>
          <w:tcPr>
            <w:tcW w:type="dxa" w:w="1701"/>
          </w:tcPr>
          <w:p>
            <w:pPr>
              <w:spacing w:after="40"/>
            </w:pPr>
            <w:r>
              <w:rPr>
                <w:rFonts w:ascii="Cambria" w:hAnsi="Cambria"/>
                <w:sz w:val="20"/>
              </w:rPr>
              <w:t>с. 5, 11</w:t>
            </w:r>
          </w:p>
        </w:tc>
        <w:tc>
          <w:tcPr>
            <w:tcW w:type="dxa" w:w="3402"/>
          </w:tcPr>
          <w:p>
            <w:pPr>
              <w:spacing w:after="40"/>
            </w:pPr>
            <w:r>
              <w:rPr>
                <w:rFonts w:ascii="Cambria" w:hAnsi="Cambria"/>
                <w:sz w:val="20"/>
              </w:rPr>
              <w:t>Copper prices... to over $13,500 per metric ton by mid-2026... deficits remain, notably for copper (about 10 percent), silver, rare earths (more than 20 percent), nickel (between 10 and 20 percent).</w:t>
            </w:r>
          </w:p>
        </w:tc>
        <w:tc>
          <w:tcPr>
            <w:tcW w:type="dxa" w:w="3402"/>
          </w:tcPr>
          <w:p>
            <w:pPr>
              <w:spacing w:after="40"/>
            </w:pPr>
            <w:r>
              <w:rPr>
                <w:rFonts w:ascii="Cambria" w:hAnsi="Cambria"/>
                <w:sz w:val="20"/>
              </w:rPr>
              <w:t>На этом фоне медь к середине 2026 г. подорожала до $13,5 тыс. за тонну, а дефицит к 2035 г. сохранится по меди (около 10%), никелю (10–20%) и редкоземельным металлам (свыше 20%).</w:t>
            </w:r>
          </w:p>
        </w:tc>
      </w:tr>
      <w:tr>
        <w:tc>
          <w:tcPr>
            <w:tcW w:type="dxa" w:w="567"/>
          </w:tcPr>
          <w:p>
            <w:pPr>
              <w:spacing w:after="40"/>
            </w:pPr>
            <w:r>
              <w:rPr>
                <w:rFonts w:ascii="Cambria" w:hAnsi="Cambria"/>
                <w:sz w:val="20"/>
              </w:rPr>
              <w:t>23</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15, 46</w:t>
            </w:r>
          </w:p>
        </w:tc>
        <w:tc>
          <w:tcPr>
            <w:tcW w:type="dxa" w:w="3402"/>
          </w:tcPr>
          <w:p>
            <w:pPr>
              <w:spacing w:after="40"/>
            </w:pPr>
            <w:r>
              <w:rPr>
                <w:rFonts w:ascii="Cambria" w:hAnsi="Cambria"/>
                <w:sz w:val="20"/>
              </w:rPr>
              <w:t>~$4.2 trillion capex... about $215 billion per year, roughly 10 percent above 2025... At $194 billion, 2025 investment remains about 45 percent below the 2012 peak in real terms.</w:t>
            </w:r>
          </w:p>
        </w:tc>
        <w:tc>
          <w:tcPr>
            <w:tcW w:type="dxa" w:w="3402"/>
          </w:tcPr>
          <w:p>
            <w:pPr>
              <w:spacing w:after="40"/>
            </w:pPr>
            <w:r>
              <w:rPr>
                <w:rFonts w:ascii="Cambria" w:hAnsi="Cambria"/>
                <w:sz w:val="20"/>
              </w:rPr>
              <w:t>По оценке доклада, до 2035 г. отрасли потребуется около $4,2 трлн. капиталовложений, или $215 млрд. в год, что примерно на 10% выше уровня 2025 г., когда инвестиции составили $194 млрд. и были на 45% ниже пика 2012 г.</w:t>
            </w:r>
          </w:p>
        </w:tc>
      </w:tr>
      <w:tr>
        <w:tc>
          <w:tcPr>
            <w:tcW w:type="dxa" w:w="567"/>
          </w:tcPr>
          <w:p>
            <w:pPr>
              <w:spacing w:after="40"/>
            </w:pPr>
            <w:r>
              <w:rPr>
                <w:rFonts w:ascii="Cambria" w:hAnsi="Cambria"/>
                <w:sz w:val="20"/>
              </w:rPr>
              <w:t>24</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49, 63</w:t>
            </w:r>
          </w:p>
        </w:tc>
        <w:tc>
          <w:tcPr>
            <w:tcW w:type="dxa" w:w="3402"/>
          </w:tcPr>
          <w:p>
            <w:pPr>
              <w:spacing w:after="40"/>
            </w:pPr>
            <w:r>
              <w:rPr>
                <w:rFonts w:ascii="Cambria" w:hAnsi="Cambria"/>
                <w:sz w:val="20"/>
              </w:rPr>
              <w:t>Exploration spending on gold and copper has risen sixfold over the past 25 years, yet the number of major discoveries has fallen... &lt;5 major copper or gold findings on average per year last decade.</w:t>
            </w:r>
          </w:p>
        </w:tc>
        <w:tc>
          <w:tcPr>
            <w:tcW w:type="dxa" w:w="3402"/>
          </w:tcPr>
          <w:p>
            <w:pPr>
              <w:spacing w:after="40"/>
            </w:pPr>
            <w:r>
              <w:rPr>
                <w:rFonts w:ascii="Cambria" w:hAnsi="Cambria"/>
                <w:sz w:val="20"/>
              </w:rPr>
              <w:t>Расходы на разведку золота и меди за 25 лет выросли в шесть раз, но крупных открытий в последнее десятилетие в среднем менее пяти в год, поскольку залежи глубже, а сроки согласований длиннее.</w:t>
            </w:r>
          </w:p>
        </w:tc>
      </w:tr>
      <w:tr>
        <w:tc>
          <w:tcPr>
            <w:tcW w:type="dxa" w:w="567"/>
          </w:tcPr>
          <w:p>
            <w:pPr>
              <w:spacing w:after="40"/>
            </w:pPr>
            <w:r>
              <w:rPr>
                <w:rFonts w:ascii="Cambria" w:hAnsi="Cambria"/>
                <w:sz w:val="20"/>
              </w:rPr>
              <w:t>25</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6, 56, 57</w:t>
            </w:r>
          </w:p>
        </w:tc>
        <w:tc>
          <w:tcPr>
            <w:tcW w:type="dxa" w:w="3402"/>
          </w:tcPr>
          <w:p>
            <w:pPr>
              <w:spacing w:after="40"/>
            </w:pPr>
            <w:r>
              <w:rPr>
                <w:rFonts w:ascii="Cambria" w:hAnsi="Cambria"/>
                <w:sz w:val="20"/>
              </w:rPr>
              <w:t>Annual productivity potential ranging from $450 billion to $750 billion... roughly 15 to 25 percent of industry revenues... AHS fleet 769 (2021) ... 5,684 (2026); China... more than 50 percent of all operating fleets.</w:t>
            </w:r>
          </w:p>
        </w:tc>
        <w:tc>
          <w:tcPr>
            <w:tcW w:type="dxa" w:w="3402"/>
          </w:tcPr>
          <w:p>
            <w:pPr>
              <w:spacing w:after="40"/>
            </w:pPr>
            <w:r>
              <w:rPr>
                <w:rFonts w:ascii="Cambria" w:hAnsi="Cambria"/>
                <w:sz w:val="20"/>
              </w:rPr>
              <w:t>Резерв роста производительности оценивается в $450–750 млрд. в год, или 15–25% выручки, а парк беспилотных карьерных самосвалов вырос с 769 в 2021 г. до 5,7 тыс. в 2026 г., более половины из них в Китае.</w:t>
            </w:r>
          </w:p>
        </w:tc>
      </w:tr>
      <w:tr>
        <w:tc>
          <w:tcPr>
            <w:tcW w:type="dxa" w:w="567"/>
          </w:tcPr>
          <w:p>
            <w:pPr>
              <w:spacing w:after="40"/>
            </w:pPr>
            <w:r>
              <w:rPr>
                <w:rFonts w:ascii="Cambria" w:hAnsi="Cambria"/>
                <w:sz w:val="20"/>
              </w:rPr>
              <w:t>26</w:t>
            </w:r>
          </w:p>
        </w:tc>
        <w:tc>
          <w:tcPr>
            <w:tcW w:type="dxa" w:w="1247"/>
          </w:tcPr>
          <w:p>
            <w:pPr>
              <w:spacing w:after="40"/>
            </w:pPr>
            <w:r>
              <w:rPr>
                <w:rFonts w:ascii="Cambria" w:hAnsi="Cambria"/>
                <w:sz w:val="20"/>
              </w:rPr>
              <w:t>№2 (вывод)</w:t>
            </w:r>
          </w:p>
        </w:tc>
        <w:tc>
          <w:tcPr>
            <w:tcW w:type="dxa" w:w="1701"/>
          </w:tcPr>
          <w:p>
            <w:pPr>
              <w:spacing w:after="40"/>
            </w:pPr>
            <w:r>
              <w:rPr>
                <w:rFonts w:ascii="Cambria" w:hAnsi="Cambria"/>
                <w:sz w:val="20"/>
              </w:rPr>
              <w:t>с. 50</w:t>
            </w:r>
          </w:p>
        </w:tc>
        <w:tc>
          <w:tcPr>
            <w:tcW w:type="dxa" w:w="3402"/>
          </w:tcPr>
          <w:p>
            <w:pPr>
              <w:spacing w:after="40"/>
            </w:pPr>
            <w:r>
              <w:rPr>
                <w:rFonts w:ascii="Cambria" w:hAnsi="Cambria"/>
                <w:sz w:val="20"/>
              </w:rPr>
              <w:t>Regional split of capex, Total: CIS 268 (2014–24), 236 (2025–35).</w:t>
            </w:r>
          </w:p>
        </w:tc>
        <w:tc>
          <w:tcPr>
            <w:tcW w:type="dxa" w:w="3402"/>
          </w:tcPr>
          <w:p>
            <w:pPr>
              <w:spacing w:after="40"/>
            </w:pPr>
            <w:r>
              <w:rPr>
                <w:rFonts w:ascii="Cambria" w:hAnsi="Cambria"/>
                <w:sz w:val="20"/>
              </w:rPr>
              <w:t>Справочно: для стран СНГ, включая Центральную Азию, доклад прогнозирует снижение капиталовложений в добычу и переработку с $268 млрд. в 2014–2024 гг. до $236 млрд. в 2025–2035 гг.</w:t>
            </w:r>
          </w:p>
        </w:tc>
      </w:tr>
      <w:tr>
        <w:tc>
          <w:tcPr>
            <w:tcW w:type="dxa" w:w="567"/>
          </w:tcPr>
          <w:p>
            <w:pPr>
              <w:spacing w:after="40"/>
            </w:pPr>
            <w:r>
              <w:rPr>
                <w:rFonts w:ascii="Cambria" w:hAnsi="Cambria"/>
                <w:sz w:val="20"/>
              </w:rPr>
              <w:t>27</w:t>
            </w:r>
          </w:p>
        </w:tc>
        <w:tc>
          <w:tcPr>
            <w:tcW w:type="dxa" w:w="1247"/>
          </w:tcPr>
          <w:p>
            <w:pPr>
              <w:spacing w:after="40"/>
            </w:pPr>
            <w:r>
              <w:rPr>
                <w:rFonts w:ascii="Cambria" w:hAnsi="Cambria"/>
                <w:sz w:val="20"/>
              </w:rPr>
              <w:t>№1 (предложение (полный перечень))</w:t>
            </w:r>
          </w:p>
        </w:tc>
        <w:tc>
          <w:tcPr>
            <w:tcW w:type="dxa" w:w="1701"/>
          </w:tcPr>
          <w:p>
            <w:pPr>
              <w:spacing w:after="40"/>
            </w:pPr>
            <w:r>
              <w:rPr>
                <w:rFonts w:ascii="Cambria" w:hAnsi="Cambria"/>
                <w:sz w:val="20"/>
              </w:rPr>
              <w:t>с. 19</w:t>
            </w:r>
          </w:p>
        </w:tc>
        <w:tc>
          <w:tcPr>
            <w:tcW w:type="dxa" w:w="3402"/>
          </w:tcPr>
          <w:p>
            <w:pPr>
              <w:spacing w:after="40"/>
            </w:pPr>
            <w:r>
              <w:rPr>
                <w:rFonts w:ascii="Cambria" w:hAnsi="Cambria"/>
                <w:sz w:val="20"/>
              </w:rPr>
              <w:t>TC/RC 45% → 11% → 0; sulfuric acid 26% → 40% → 65%.</w:t>
            </w:r>
          </w:p>
        </w:tc>
        <w:tc>
          <w:tcPr>
            <w:tcW w:type="dxa" w:w="3402"/>
          </w:tcPr>
          <w:p>
            <w:pPr>
              <w:spacing w:after="40"/>
            </w:pPr>
            <w:r>
              <w:rPr>
                <w:rFonts w:ascii="Cambria" w:hAnsi="Cambria"/>
                <w:sz w:val="20"/>
              </w:rPr>
              <w:t>По данным доклада, плата за переработку медного концентрата сократилась с 45% дохода завода в 2015–2024 гг. до нуля в первом полугодии 2026 г., а 65% дохода дала серная кислота.</w:t>
            </w:r>
          </w:p>
        </w:tc>
      </w:tr>
      <w:tr>
        <w:tc>
          <w:tcPr>
            <w:tcW w:type="dxa" w:w="567"/>
          </w:tcPr>
          <w:p>
            <w:pPr>
              <w:spacing w:after="40"/>
            </w:pPr>
            <w:r>
              <w:rPr>
                <w:rFonts w:ascii="Cambria" w:hAnsi="Cambria"/>
                <w:sz w:val="20"/>
              </w:rPr>
              <w:t>28</w:t>
            </w:r>
          </w:p>
        </w:tc>
        <w:tc>
          <w:tcPr>
            <w:tcW w:type="dxa" w:w="1247"/>
          </w:tcPr>
          <w:p>
            <w:pPr>
              <w:spacing w:after="40"/>
            </w:pPr>
            <w:r>
              <w:rPr>
                <w:rFonts w:ascii="Cambria" w:hAnsi="Cambria"/>
                <w:sz w:val="20"/>
              </w:rPr>
              <w:t>№2 (предложение (полный перечень))</w:t>
            </w:r>
          </w:p>
        </w:tc>
        <w:tc>
          <w:tcPr>
            <w:tcW w:type="dxa" w:w="1701"/>
          </w:tcPr>
          <w:p>
            <w:pPr>
              <w:spacing w:after="40"/>
            </w:pPr>
            <w:r>
              <w:rPr>
                <w:rFonts w:ascii="Cambria" w:hAnsi="Cambria"/>
                <w:sz w:val="20"/>
              </w:rPr>
              <w:t>с. 33</w:t>
            </w:r>
          </w:p>
        </w:tc>
        <w:tc>
          <w:tcPr>
            <w:tcW w:type="dxa" w:w="3402"/>
          </w:tcPr>
          <w:p>
            <w:pPr>
              <w:spacing w:after="40"/>
            </w:pPr>
            <w:r>
              <w:rPr>
                <w:rFonts w:ascii="Cambria" w:hAnsi="Cambria"/>
                <w:sz w:val="20"/>
              </w:rPr>
              <w:t>Copper leaching (SXEW) 39; Uranium ISL 38.</w:t>
            </w:r>
          </w:p>
        </w:tc>
        <w:tc>
          <w:tcPr>
            <w:tcW w:type="dxa" w:w="3402"/>
          </w:tcPr>
          <w:p>
            <w:pPr>
              <w:spacing w:after="40"/>
            </w:pPr>
            <w:r>
              <w:rPr>
                <w:rFonts w:ascii="Cambria" w:hAnsi="Cambria"/>
                <w:sz w:val="20"/>
              </w:rPr>
              <w:t>Доклад показывает, что при цене серы $1 тыс. за тонну она составляет до 39% операционных затрат при выщелачивании меди и 38% при скважинной добыче урана.</w:t>
            </w:r>
          </w:p>
        </w:tc>
      </w:tr>
      <w:tr>
        <w:tc>
          <w:tcPr>
            <w:tcW w:type="dxa" w:w="567"/>
          </w:tcPr>
          <w:p>
            <w:pPr>
              <w:spacing w:after="40"/>
            </w:pPr>
            <w:r>
              <w:rPr>
                <w:rFonts w:ascii="Cambria" w:hAnsi="Cambria"/>
                <w:sz w:val="20"/>
              </w:rPr>
              <w:t>29</w:t>
            </w:r>
          </w:p>
        </w:tc>
        <w:tc>
          <w:tcPr>
            <w:tcW w:type="dxa" w:w="1247"/>
          </w:tcPr>
          <w:p>
            <w:pPr>
              <w:spacing w:after="40"/>
            </w:pPr>
            <w:r>
              <w:rPr>
                <w:rFonts w:ascii="Cambria" w:hAnsi="Cambria"/>
                <w:sz w:val="20"/>
              </w:rPr>
              <w:t>№3 (предложение (полный перечень))</w:t>
            </w:r>
          </w:p>
        </w:tc>
        <w:tc>
          <w:tcPr>
            <w:tcW w:type="dxa" w:w="1701"/>
          </w:tcPr>
          <w:p>
            <w:pPr>
              <w:spacing w:after="40"/>
            </w:pPr>
            <w:r>
              <w:rPr>
                <w:rFonts w:ascii="Cambria" w:hAnsi="Cambria"/>
                <w:sz w:val="20"/>
              </w:rPr>
              <w:t>с. 26, 28</w:t>
            </w:r>
          </w:p>
        </w:tc>
        <w:tc>
          <w:tcPr>
            <w:tcW w:type="dxa" w:w="3402"/>
          </w:tcPr>
          <w:p>
            <w:pPr>
              <w:spacing w:after="40"/>
            </w:pPr>
            <w:r>
              <w:rPr>
                <w:rFonts w:ascii="Cambria" w:hAnsi="Cambria"/>
                <w:sz w:val="20"/>
              </w:rPr>
              <w:t>China accounting for the largest share in all but nickel, palladium, platinum... nine now have trade barriers.</w:t>
            </w:r>
          </w:p>
        </w:tc>
        <w:tc>
          <w:tcPr>
            <w:tcW w:type="dxa" w:w="3402"/>
          </w:tcPr>
          <w:p>
            <w:pPr>
              <w:spacing w:after="40"/>
            </w:pPr>
            <w:r>
              <w:rPr>
                <w:rFonts w:ascii="Cambria" w:hAnsi="Cambria"/>
                <w:sz w:val="20"/>
              </w:rPr>
              <w:t>Китай лидирует в переработке всех ключевых металлов, кроме никеля, палладия и платины, а 9 из 13 наиболее значимых видов сырья уже находятся под экспортными барьерами.</w:t>
            </w:r>
          </w:p>
        </w:tc>
      </w:tr>
      <w:tr>
        <w:tc>
          <w:tcPr>
            <w:tcW w:type="dxa" w:w="567"/>
          </w:tcPr>
          <w:p>
            <w:pPr>
              <w:spacing w:after="40"/>
            </w:pPr>
            <w:r>
              <w:rPr>
                <w:rFonts w:ascii="Cambria" w:hAnsi="Cambria"/>
                <w:sz w:val="20"/>
              </w:rPr>
              <w:t>33</w:t>
            </w:r>
          </w:p>
        </w:tc>
        <w:tc>
          <w:tcPr>
            <w:tcW w:type="dxa" w:w="1247"/>
          </w:tcPr>
          <w:p>
            <w:pPr>
              <w:spacing w:after="40"/>
            </w:pPr>
            <w:r>
              <w:rPr>
                <w:rFonts w:ascii="Cambria" w:hAnsi="Cambria"/>
                <w:sz w:val="20"/>
              </w:rPr>
              <w:t>№7 (предложение (полный перечень))</w:t>
            </w:r>
          </w:p>
        </w:tc>
        <w:tc>
          <w:tcPr>
            <w:tcW w:type="dxa" w:w="1701"/>
          </w:tcPr>
          <w:p>
            <w:pPr>
              <w:spacing w:after="40"/>
            </w:pPr>
            <w:r>
              <w:rPr>
                <w:rFonts w:ascii="Cambria" w:hAnsi="Cambria"/>
                <w:sz w:val="20"/>
              </w:rPr>
              <w:t>с. 56, 57</w:t>
            </w:r>
          </w:p>
        </w:tc>
        <w:tc>
          <w:tcPr>
            <w:tcW w:type="dxa" w:w="3402"/>
          </w:tcPr>
          <w:p>
            <w:pPr>
              <w:spacing w:after="40"/>
            </w:pPr>
            <w:r>
              <w:rPr>
                <w:rFonts w:ascii="Cambria" w:hAnsi="Cambria"/>
                <w:sz w:val="20"/>
              </w:rPr>
              <w:t>AHS fleet 769 → 5,684; $450–750 billion.</w:t>
            </w:r>
          </w:p>
        </w:tc>
        <w:tc>
          <w:tcPr>
            <w:tcW w:type="dxa" w:w="3402"/>
          </w:tcPr>
          <w:p>
            <w:pPr>
              <w:spacing w:after="40"/>
            </w:pPr>
            <w:r>
              <w:rPr>
                <w:rFonts w:ascii="Cambria" w:hAnsi="Cambria"/>
                <w:sz w:val="20"/>
              </w:rPr>
              <w:t>Парк беспилотных карьерных самосвалов в мире вырос с 769 в 2021 г. до 5,7 тыс. в 2026 г., а резерв роста производительности отрасли оценивается в $450–750 млрд. в год.</w:t>
            </w:r>
          </w:p>
        </w:tc>
      </w:tr>
      <w:tr>
        <w:tc>
          <w:tcPr>
            <w:tcW w:type="dxa" w:w="567"/>
          </w:tcPr>
          <w:p>
            <w:pPr>
              <w:spacing w:after="40"/>
            </w:pPr>
            <w:r>
              <w:rPr>
                <w:rFonts w:ascii="Cambria" w:hAnsi="Cambria"/>
                <w:sz w:val="20"/>
              </w:rPr>
              <w:t>34</w:t>
            </w:r>
          </w:p>
        </w:tc>
        <w:tc>
          <w:tcPr>
            <w:tcW w:type="dxa" w:w="1247"/>
          </w:tcPr>
          <w:p>
            <w:pPr>
              <w:spacing w:after="40"/>
            </w:pPr>
            <w:r>
              <w:rPr>
                <w:rFonts w:ascii="Cambria" w:hAnsi="Cambria"/>
                <w:sz w:val="20"/>
              </w:rPr>
              <w:t>№8 (предложение (полный перечень))</w:t>
            </w:r>
          </w:p>
        </w:tc>
        <w:tc>
          <w:tcPr>
            <w:tcW w:type="dxa" w:w="1701"/>
          </w:tcPr>
          <w:p>
            <w:pPr>
              <w:spacing w:after="40"/>
            </w:pPr>
            <w:r>
              <w:rPr>
                <w:rFonts w:ascii="Cambria" w:hAnsi="Cambria"/>
                <w:sz w:val="20"/>
              </w:rPr>
              <w:t>с. 49</w:t>
            </w:r>
          </w:p>
        </w:tc>
        <w:tc>
          <w:tcPr>
            <w:tcW w:type="dxa" w:w="3402"/>
          </w:tcPr>
          <w:p>
            <w:pPr>
              <w:spacing w:after="40"/>
            </w:pPr>
            <w:r>
              <w:rPr>
                <w:rFonts w:ascii="Cambria" w:hAnsi="Cambria"/>
                <w:sz w:val="20"/>
              </w:rPr>
              <w:t>AI-enabled data integration and target generation using historical geological data and satellite imagery.</w:t>
            </w:r>
          </w:p>
        </w:tc>
        <w:tc>
          <w:tcPr>
            <w:tcW w:type="dxa" w:w="3402"/>
          </w:tcPr>
          <w:p>
            <w:pPr>
              <w:spacing w:after="40"/>
            </w:pPr>
            <w:r>
              <w:rPr>
                <w:rFonts w:ascii="Cambria" w:hAnsi="Cambria"/>
                <w:sz w:val="20"/>
              </w:rPr>
              <w:t>Расходы на разведку золота и меди выросли в шесть раз за 25 лет, но крупных открытий менее пяти в год, и доклад предлагает использовать ИИ для анализа исторических геологических данных и спутниковых снимков.</w:t>
            </w:r>
          </w:p>
        </w:tc>
      </w:tr>
      <w:tr>
        <w:tc>
          <w:tcPr>
            <w:tcW w:type="dxa" w:w="567"/>
          </w:tcPr>
          <w:p>
            <w:pPr>
              <w:spacing w:after="40"/>
            </w:pPr>
            <w:r>
              <w:rPr>
                <w:rFonts w:ascii="Cambria" w:hAnsi="Cambria"/>
                <w:sz w:val="20"/>
              </w:rPr>
              <w:t>36</w:t>
            </w:r>
          </w:p>
        </w:tc>
        <w:tc>
          <w:tcPr>
            <w:tcW w:type="dxa" w:w="1247"/>
          </w:tcPr>
          <w:p>
            <w:pPr>
              <w:spacing w:after="40"/>
            </w:pPr>
            <w:r>
              <w:rPr>
                <w:rFonts w:ascii="Cambria" w:hAnsi="Cambria"/>
                <w:sz w:val="20"/>
              </w:rPr>
              <w:t>№9 (предложение (полный перечень))</w:t>
            </w:r>
          </w:p>
        </w:tc>
        <w:tc>
          <w:tcPr>
            <w:tcW w:type="dxa" w:w="1701"/>
          </w:tcPr>
          <w:p>
            <w:pPr>
              <w:spacing w:after="40"/>
            </w:pPr>
            <w:r>
              <w:rPr>
                <w:rFonts w:ascii="Cambria" w:hAnsi="Cambria"/>
                <w:sz w:val="20"/>
              </w:rPr>
              <w:t>с. 47</w:t>
            </w:r>
          </w:p>
        </w:tc>
        <w:tc>
          <w:tcPr>
            <w:tcW w:type="dxa" w:w="3402"/>
          </w:tcPr>
          <w:p>
            <w:pPr>
              <w:spacing w:after="40"/>
            </w:pPr>
            <w:r>
              <w:rPr>
                <w:rFonts w:ascii="Cambria" w:hAnsi="Cambria"/>
                <w:sz w:val="20"/>
              </w:rPr>
              <w:t>310,000 direct jobs; India +430,000.</w:t>
            </w:r>
          </w:p>
        </w:tc>
        <w:tc>
          <w:tcPr>
            <w:tcW w:type="dxa" w:w="3402"/>
          </w:tcPr>
          <w:p>
            <w:pPr>
              <w:spacing w:after="40"/>
            </w:pPr>
            <w:r>
              <w:rPr>
                <w:rFonts w:ascii="Cambria" w:hAnsi="Cambria"/>
                <w:sz w:val="20"/>
              </w:rPr>
              <w:t>К 2035 г. отрасли понадобится дополнительно 310 тыс. работников, а в Индии потребность вырастет на 430 тыс. чел.</w:t>
            </w:r>
          </w:p>
        </w:tc>
      </w:tr>
      <w:tr>
        <w:tc>
          <w:tcPr>
            <w:tcW w:type="dxa" w:w="567"/>
          </w:tcPr>
          <w:p>
            <w:pPr>
              <w:spacing w:after="40"/>
            </w:pPr>
            <w:r>
              <w:rPr>
                <w:rFonts w:ascii="Cambria" w:hAnsi="Cambria"/>
                <w:sz w:val="20"/>
              </w:rPr>
              <w:t>37</w:t>
            </w:r>
          </w:p>
        </w:tc>
        <w:tc>
          <w:tcPr>
            <w:tcW w:type="dxa" w:w="1247"/>
          </w:tcPr>
          <w:p>
            <w:pPr>
              <w:spacing w:after="40"/>
            </w:pPr>
            <w:r>
              <w:rPr>
                <w:rFonts w:ascii="Cambria" w:hAnsi="Cambria"/>
                <w:sz w:val="20"/>
              </w:rPr>
              <w:t>№10 (предложение (полный перечень))</w:t>
            </w:r>
          </w:p>
        </w:tc>
        <w:tc>
          <w:tcPr>
            <w:tcW w:type="dxa" w:w="1701"/>
          </w:tcPr>
          <w:p>
            <w:pPr>
              <w:spacing w:after="40"/>
            </w:pPr>
            <w:r>
              <w:rPr>
                <w:rFonts w:ascii="Cambria" w:hAnsi="Cambria"/>
                <w:sz w:val="20"/>
              </w:rPr>
              <w:t>с. 59</w:t>
            </w:r>
          </w:p>
        </w:tc>
        <w:tc>
          <w:tcPr>
            <w:tcW w:type="dxa" w:w="3402"/>
          </w:tcPr>
          <w:p>
            <w:pPr>
              <w:spacing w:after="40"/>
            </w:pPr>
            <w:r>
              <w:rPr>
                <w:rFonts w:ascii="Cambria" w:hAnsi="Cambria"/>
                <w:sz w:val="20"/>
              </w:rPr>
              <w:t>CBAM entered its definitive regime and is now applying a carbon price to imported steel, aluminum, and other materials.</w:t>
            </w:r>
          </w:p>
        </w:tc>
        <w:tc>
          <w:tcPr>
            <w:tcW w:type="dxa" w:w="3402"/>
          </w:tcPr>
          <w:p>
            <w:pPr>
              <w:spacing w:after="40"/>
            </w:pPr>
            <w:r>
              <w:rPr>
                <w:rFonts w:ascii="Cambria" w:hAnsi="Cambria"/>
                <w:sz w:val="20"/>
              </w:rPr>
              <w:t>Согласно докладу, механизм трансграничного углеродного регулирования ЕС вступил в окончательную фазу и применяет цену на углерод к импортируемой стали, алюминию и другим материалам.</w:t>
            </w:r>
          </w:p>
        </w:tc>
      </w:tr>
    </w:tbl>
    <w:p>
      <w:pPr>
        <w:spacing w:before="240" w:after="80"/>
      </w:pPr>
      <w:r>
        <w:rPr>
          <w:rFonts w:ascii="Cambria" w:hAnsi="Cambria"/>
          <w:b/>
          <w:i w:val="0"/>
          <w:sz w:val="26"/>
        </w:rPr>
        <w:t>II. Сведения из внешних источников</w:t>
      </w:r>
    </w:p>
    <w:tbl>
      <w:tblPr>
        <w:tblStyle w:val="TableGrid"/>
        <w:tblW w:type="auto" w:w="0"/>
        <w:jc w:val="center"/>
        <w:tblLook w:firstColumn="1" w:firstRow="1" w:lastColumn="0" w:lastRow="0" w:noHBand="0" w:noVBand="1" w:val="04A0"/>
      </w:tblPr>
      <w:tblGrid>
        <w:gridCol w:w="2357"/>
        <w:gridCol w:w="2357"/>
        <w:gridCol w:w="2357"/>
        <w:gridCol w:w="2357"/>
        <w:gridCol w:w="2357"/>
        <w:gridCol w:w="2357"/>
      </w:tblGrid>
      <w:tr>
        <w:tc>
          <w:tcPr>
            <w:tcW w:type="dxa" w:w="567"/>
            <w:shd w:val="clear" w:color="auto" w:fill="D9D9D9"/>
          </w:tcPr>
          <w:p>
            <w:r/>
            <w:r>
              <w:rPr>
                <w:rFonts w:ascii="Cambria" w:hAnsi="Cambria"/>
                <w:b/>
                <w:sz w:val="20"/>
              </w:rPr>
              <w:t>№</w:t>
            </w:r>
          </w:p>
        </w:tc>
        <w:tc>
          <w:tcPr>
            <w:tcW w:type="dxa" w:w="1134"/>
            <w:shd w:val="clear" w:color="auto" w:fill="D9D9D9"/>
          </w:tcPr>
          <w:p>
            <w:r/>
            <w:r>
              <w:rPr>
                <w:rFonts w:ascii="Cambria" w:hAnsi="Cambria"/>
                <w:b/>
                <w:sz w:val="20"/>
              </w:rPr>
              <w:t>Раздел</w:t>
            </w:r>
          </w:p>
        </w:tc>
        <w:tc>
          <w:tcPr>
            <w:tcW w:type="dxa" w:w="1701"/>
            <w:shd w:val="clear" w:color="auto" w:fill="D9D9D9"/>
          </w:tcPr>
          <w:p>
            <w:r/>
            <w:r>
              <w:rPr>
                <w:rFonts w:ascii="Cambria" w:hAnsi="Cambria"/>
                <w:b/>
                <w:sz w:val="20"/>
              </w:rPr>
              <w:t>Источник</w:t>
            </w:r>
          </w:p>
        </w:tc>
        <w:tc>
          <w:tcPr>
            <w:tcW w:type="dxa" w:w="2835"/>
            <w:shd w:val="clear" w:color="auto" w:fill="D9D9D9"/>
          </w:tcPr>
          <w:p>
            <w:r/>
            <w:r>
              <w:rPr>
                <w:rFonts w:ascii="Cambria" w:hAnsi="Cambria"/>
                <w:b/>
                <w:sz w:val="20"/>
              </w:rPr>
              <w:t>Ссылка</w:t>
            </w:r>
          </w:p>
        </w:tc>
        <w:tc>
          <w:tcPr>
            <w:tcW w:type="dxa" w:w="2835"/>
            <w:shd w:val="clear" w:color="auto" w:fill="D9D9D9"/>
          </w:tcPr>
          <w:p>
            <w:r/>
            <w:r>
              <w:rPr>
                <w:rFonts w:ascii="Cambria" w:hAnsi="Cambria"/>
                <w:b/>
                <w:sz w:val="20"/>
              </w:rPr>
              <w:t>Оригинальный текст/факт</w:t>
            </w:r>
          </w:p>
        </w:tc>
        <w:tc>
          <w:tcPr>
            <w:tcW w:type="dxa" w:w="2835"/>
            <w:shd w:val="clear" w:color="auto" w:fill="D9D9D9"/>
          </w:tcPr>
          <w:p>
            <w:r/>
            <w:r>
              <w:rPr>
                <w:rFonts w:ascii="Cambria" w:hAnsi="Cambria"/>
                <w:b/>
                <w:sz w:val="20"/>
              </w:rPr>
              <w:t>Использовано в записке</w:t>
            </w:r>
          </w:p>
        </w:tc>
      </w:tr>
      <w:tr>
        <w:tc>
          <w:tcPr>
            <w:tcW w:type="dxa" w:w="567"/>
          </w:tcPr>
          <w:p>
            <w:pPr>
              <w:spacing w:after="40"/>
            </w:pPr>
            <w:r>
              <w:rPr>
                <w:rFonts w:ascii="Cambria" w:hAnsi="Cambria"/>
                <w:sz w:val="20"/>
              </w:rPr>
              <w:t>5</w:t>
            </w:r>
          </w:p>
        </w:tc>
        <w:tc>
          <w:tcPr>
            <w:tcW w:type="dxa" w:w="1134"/>
          </w:tcPr>
          <w:p>
            <w:pPr>
              <w:spacing w:after="40"/>
            </w:pPr>
            <w:r>
              <w:rPr>
                <w:rFonts w:ascii="Cambria" w:hAnsi="Cambria"/>
                <w:sz w:val="20"/>
              </w:rPr>
              <w:t>№1 (вывод)</w:t>
            </w:r>
          </w:p>
        </w:tc>
        <w:tc>
          <w:tcPr>
            <w:tcW w:type="dxa" w:w="1701"/>
          </w:tcPr>
          <w:p>
            <w:pPr>
              <w:spacing w:after="40"/>
            </w:pPr>
            <w:r>
              <w:rPr>
                <w:rFonts w:ascii="Cambria" w:hAnsi="Cambria"/>
                <w:sz w:val="20"/>
              </w:rPr>
              <w:t>Spot.uz и Kun.uz по данным Нацкомстата, 22.01.2026</w:t>
            </w:r>
          </w:p>
        </w:tc>
        <w:tc>
          <w:tcPr>
            <w:tcW w:type="dxa" w:w="2835"/>
          </w:tcPr>
          <w:p>
            <w:pPr>
              <w:spacing w:after="40"/>
            </w:pPr>
            <w:hyperlink r:id="rId9">
              <w:r>
                <w:rPr>
                  <w:rFonts w:ascii="Cambria" w:hAnsi="Cambria"/>
                  <w:sz w:val="20"/>
                  <w:color w:val="0563C1"/>
                  <w:u w:val="single"/>
                </w:rPr>
                <w:t>https://kun.uz/en/news/2026/01/22/record-gold-sales-lift-uzbekistans-exports-in-2025</w:t>
              </w:r>
            </w:hyperlink>
          </w:p>
        </w:tc>
        <w:tc>
          <w:tcPr>
            <w:tcW w:type="dxa" w:w="2835"/>
          </w:tcPr>
          <w:p>
            <w:pPr>
              <w:spacing w:after="40"/>
            </w:pPr>
            <w:r>
              <w:rPr>
                <w:rFonts w:ascii="Cambria" w:hAnsi="Cambria"/>
                <w:sz w:val="20"/>
              </w:rPr>
              <w:t>Поставки металла достигли рекордных более $9,9 млрд, что на 32,3% выше прошлогоднего уровня... Доля золота составила больше 29,2% всего экспорта и 37,8% товарного экспорта. (дубль — https://www.spot.uz/ru/2026/01/22/export-gold/)</w:t>
            </w:r>
          </w:p>
        </w:tc>
        <w:tc>
          <w:tcPr>
            <w:tcW w:type="dxa" w:w="2835"/>
          </w:tcPr>
          <w:p>
            <w:pPr>
              <w:spacing w:after="40"/>
            </w:pPr>
            <w:r>
              <w:rPr>
                <w:rFonts w:ascii="Cambria" w:hAnsi="Cambria"/>
                <w:sz w:val="20"/>
              </w:rPr>
              <w:t>Справочно: в 2025 г. экспорт золота из Узбекистана превысил $9,9 млрд., что на 32,3% выше уровня 2024 г., на золото пришлось 29,2% всего экспорта страны.</w:t>
            </w:r>
          </w:p>
        </w:tc>
      </w:tr>
      <w:tr>
        <w:tc>
          <w:tcPr>
            <w:tcW w:type="dxa" w:w="567"/>
          </w:tcPr>
          <w:p>
            <w:pPr>
              <w:spacing w:after="40"/>
            </w:pPr>
            <w:r>
              <w:rPr>
                <w:rFonts w:ascii="Cambria" w:hAnsi="Cambria"/>
                <w:sz w:val="20"/>
              </w:rPr>
              <w:t>10</w:t>
            </w:r>
          </w:p>
        </w:tc>
        <w:tc>
          <w:tcPr>
            <w:tcW w:type="dxa" w:w="1134"/>
          </w:tcPr>
          <w:p>
            <w:pPr>
              <w:spacing w:after="40"/>
            </w:pPr>
            <w:r>
              <w:rPr>
                <w:rFonts w:ascii="Cambria" w:hAnsi="Cambria"/>
                <w:sz w:val="20"/>
              </w:rPr>
              <w:t>№2 (вывод)</w:t>
            </w:r>
          </w:p>
        </w:tc>
        <w:tc>
          <w:tcPr>
            <w:tcW w:type="dxa" w:w="1701"/>
          </w:tcPr>
          <w:p>
            <w:pPr>
              <w:spacing w:after="40"/>
            </w:pPr>
            <w:r>
              <w:rPr>
                <w:rFonts w:ascii="Cambria" w:hAnsi="Cambria"/>
                <w:sz w:val="20"/>
              </w:rPr>
              <w:t>Podrobno.uz (АГМК), The Moscow Times со ссылкой на Reuters</w:t>
            </w:r>
          </w:p>
        </w:tc>
        <w:tc>
          <w:tcPr>
            <w:tcW w:type="dxa" w:w="2835"/>
          </w:tcPr>
          <w:p>
            <w:pPr>
              <w:spacing w:after="40"/>
            </w:pPr>
            <w:hyperlink r:id="rId10">
              <w:r>
                <w:rPr>
                  <w:rFonts w:ascii="Cambria" w:hAnsi="Cambria"/>
                  <w:sz w:val="20"/>
                  <w:color w:val="0563C1"/>
                  <w:u w:val="single"/>
                </w:rPr>
                <w:t>https://podrobno.uz/cat/economic/budushchee-kombinata-kak-agmk-realizuet-krupnyy-investproekt-po-uvelicheniyu-dobychi-medi/</w:t>
              </w:r>
            </w:hyperlink>
          </w:p>
        </w:tc>
        <w:tc>
          <w:tcPr>
            <w:tcW w:type="dxa" w:w="2835"/>
          </w:tcPr>
          <w:p>
            <w:pPr>
              <w:spacing w:after="40"/>
            </w:pPr>
            <w:r>
              <w:rPr>
                <w:rFonts w:ascii="Cambria" w:hAnsi="Cambria"/>
                <w:sz w:val="20"/>
              </w:rPr>
              <w:t>в результате освоения рудника «Ёшлик-1» до 2030 года годовое производство меди достигнет 400 000 тонн; запуск МОФ-3 и начало строительства нового медеплавильного завода. Перекрёстная проверка — https://ru.themoscowtimes.com/2024/06/27/uzbekskiy-agmk-khochet-uvelichit-proizvodstvo-katodnoy-medi-bolee-chem-vdvoe-do-2030g-a135184</w:t>
            </w:r>
          </w:p>
        </w:tc>
        <w:tc>
          <w:tcPr>
            <w:tcW w:type="dxa" w:w="2835"/>
          </w:tcPr>
          <w:p>
            <w:pPr>
              <w:spacing w:after="40"/>
            </w:pPr>
            <w:r>
              <w:rPr>
                <w:rFonts w:ascii="Cambria" w:hAnsi="Cambria"/>
                <w:sz w:val="20"/>
              </w:rPr>
              <w:t>Справочно: АГМК в рамках освоения месторождения «Ёшлик-1» и строительства нового медеплавильного завода планирует довести выпуск меди до 400 тыс. т в год к 2030 г.</w:t>
            </w:r>
          </w:p>
        </w:tc>
      </w:tr>
      <w:tr>
        <w:tc>
          <w:tcPr>
            <w:tcW w:type="dxa" w:w="567"/>
          </w:tcPr>
          <w:p>
            <w:pPr>
              <w:spacing w:after="40"/>
            </w:pPr>
            <w:r>
              <w:rPr>
                <w:rFonts w:ascii="Cambria" w:hAnsi="Cambria"/>
                <w:sz w:val="20"/>
              </w:rPr>
              <w:t>14</w:t>
            </w:r>
          </w:p>
        </w:tc>
        <w:tc>
          <w:tcPr>
            <w:tcW w:type="dxa" w:w="1134"/>
          </w:tcPr>
          <w:p>
            <w:pPr>
              <w:spacing w:after="40"/>
            </w:pPr>
            <w:r>
              <w:rPr>
                <w:rFonts w:ascii="Cambria" w:hAnsi="Cambria"/>
                <w:sz w:val="20"/>
              </w:rPr>
              <w:t>№1 (вывод)</w:t>
            </w:r>
          </w:p>
        </w:tc>
        <w:tc>
          <w:tcPr>
            <w:tcW w:type="dxa" w:w="1701"/>
          </w:tcPr>
          <w:p>
            <w:pPr>
              <w:spacing w:after="40"/>
            </w:pPr>
            <w:r>
              <w:rPr>
                <w:rFonts w:ascii="Cambria" w:hAnsi="Cambria"/>
                <w:sz w:val="20"/>
              </w:rPr>
              <w:t>Европейская служба внешних связей, Kun.uz</w:t>
            </w:r>
          </w:p>
        </w:tc>
        <w:tc>
          <w:tcPr>
            <w:tcW w:type="dxa" w:w="2835"/>
          </w:tcPr>
          <w:p>
            <w:pPr>
              <w:spacing w:after="40"/>
            </w:pPr>
            <w:hyperlink r:id="rId11">
              <w:r>
                <w:rPr>
                  <w:rFonts w:ascii="Cambria" w:hAnsi="Cambria"/>
                  <w:sz w:val="20"/>
                  <w:color w:val="0563C1"/>
                  <w:u w:val="single"/>
                </w:rPr>
                <w:t>https://www.eeas.europa.eu/delegations/uzbekistan/eu-establishes-strategic-partnership-uzbekistan-critical-raw-materials_en</w:t>
              </w:r>
            </w:hyperlink>
          </w:p>
        </w:tc>
        <w:tc>
          <w:tcPr>
            <w:tcW w:type="dxa" w:w="2835"/>
          </w:tcPr>
          <w:p>
            <w:pPr>
              <w:spacing w:after="40"/>
            </w:pPr>
            <w:r>
              <w:rPr>
                <w:rFonts w:ascii="Cambria" w:hAnsi="Cambria"/>
                <w:sz w:val="20"/>
              </w:rPr>
              <w:t>The EU and Uzbekistan signed a memorandum of understanding on April 5, 2024... building sustainable value chains, mobilising project funding, research and innovation. Cross-check — https://kun.uz/en/93519198</w:t>
            </w:r>
          </w:p>
        </w:tc>
        <w:tc>
          <w:tcPr>
            <w:tcW w:type="dxa" w:w="2835"/>
          </w:tcPr>
          <w:p>
            <w:pPr>
              <w:spacing w:after="40"/>
            </w:pPr>
            <w:r>
              <w:rPr>
                <w:rFonts w:ascii="Cambria" w:hAnsi="Cambria"/>
                <w:sz w:val="20"/>
              </w:rPr>
              <w:t>Справочно: в апреле 2024 г. Узбекистан и ЕС подписали меморандум о стратегическом партнёрстве в сфере критического сырья, предусматривающий совместное финансирование проектов и развитие переработки.</w:t>
            </w:r>
          </w:p>
        </w:tc>
      </w:tr>
      <w:tr>
        <w:tc>
          <w:tcPr>
            <w:tcW w:type="dxa" w:w="567"/>
          </w:tcPr>
          <w:p>
            <w:pPr>
              <w:spacing w:after="40"/>
            </w:pPr>
            <w:r>
              <w:rPr>
                <w:rFonts w:ascii="Cambria" w:hAnsi="Cambria"/>
                <w:sz w:val="20"/>
              </w:rPr>
              <w:t>15</w:t>
            </w:r>
          </w:p>
        </w:tc>
        <w:tc>
          <w:tcPr>
            <w:tcW w:type="dxa" w:w="1134"/>
          </w:tcPr>
          <w:p>
            <w:pPr>
              <w:spacing w:after="40"/>
            </w:pPr>
            <w:r>
              <w:rPr>
                <w:rFonts w:ascii="Cambria" w:hAnsi="Cambria"/>
                <w:sz w:val="20"/>
              </w:rPr>
              <w:t>№1 (вывод)</w:t>
            </w:r>
          </w:p>
        </w:tc>
        <w:tc>
          <w:tcPr>
            <w:tcW w:type="dxa" w:w="1701"/>
          </w:tcPr>
          <w:p>
            <w:pPr>
              <w:spacing w:after="40"/>
            </w:pPr>
            <w:r>
              <w:rPr>
                <w:rFonts w:ascii="Cambria" w:hAnsi="Cambria"/>
                <w:sz w:val="20"/>
              </w:rPr>
              <w:t>gov.uz, УзА</w:t>
            </w:r>
          </w:p>
        </w:tc>
        <w:tc>
          <w:tcPr>
            <w:tcW w:type="dxa" w:w="2835"/>
          </w:tcPr>
          <w:p>
            <w:pPr>
              <w:spacing w:after="40"/>
            </w:pPr>
            <w:hyperlink r:id="rId12">
              <w:r>
                <w:rPr>
                  <w:rFonts w:ascii="Cambria" w:hAnsi="Cambria"/>
                  <w:sz w:val="20"/>
                  <w:color w:val="0563C1"/>
                  <w:u w:val="single"/>
                </w:rPr>
                <w:t>https://gov.uz/ru/kongeotexnazorat/news/view/230051</w:t>
              </w:r>
            </w:hyperlink>
          </w:p>
        </w:tc>
        <w:tc>
          <w:tcPr>
            <w:tcW w:type="dxa" w:w="2835"/>
          </w:tcPr>
          <w:p>
            <w:pPr>
              <w:spacing w:after="40"/>
            </w:pPr>
            <w:r>
              <w:rPr>
                <w:rFonts w:ascii="Cambria" w:hAnsi="Cambria"/>
                <w:sz w:val="20"/>
              </w:rPr>
              <w:t>Шавкат Мирзиёев предложил ускорить создание альянса по критически важным минералам в Центральной Азии... единую цифровую карту. Cross-check — https://uza.uz/posts/920289</w:t>
            </w:r>
          </w:p>
        </w:tc>
        <w:tc>
          <w:tcPr>
            <w:tcW w:type="dxa" w:w="2835"/>
          </w:tcPr>
          <w:p>
            <w:pPr>
              <w:spacing w:after="40"/>
            </w:pPr>
            <w:r>
              <w:rPr>
                <w:rFonts w:ascii="Cambria" w:hAnsi="Cambria"/>
                <w:sz w:val="20"/>
              </w:rPr>
              <w:t>Справочно: 9 октября 2026 г. Президент Узбекистана предложил ускорить создание центральноазиатского альянса по критически важным минералам и составить единую цифровую карту ресурсов региона.</w:t>
            </w:r>
          </w:p>
        </w:tc>
      </w:tr>
      <w:tr>
        <w:tc>
          <w:tcPr>
            <w:tcW w:type="dxa" w:w="567"/>
          </w:tcPr>
          <w:p>
            <w:pPr>
              <w:spacing w:after="40"/>
            </w:pPr>
            <w:r>
              <w:rPr>
                <w:rFonts w:ascii="Cambria" w:hAnsi="Cambria"/>
                <w:sz w:val="20"/>
              </w:rPr>
              <w:t>19</w:t>
            </w:r>
          </w:p>
        </w:tc>
        <w:tc>
          <w:tcPr>
            <w:tcW w:type="dxa" w:w="1134"/>
          </w:tcPr>
          <w:p>
            <w:pPr>
              <w:spacing w:after="40"/>
            </w:pPr>
            <w:r>
              <w:rPr>
                <w:rFonts w:ascii="Cambria" w:hAnsi="Cambria"/>
                <w:sz w:val="20"/>
              </w:rPr>
              <w:t>№2 (вывод)</w:t>
            </w:r>
          </w:p>
        </w:tc>
        <w:tc>
          <w:tcPr>
            <w:tcW w:type="dxa" w:w="1701"/>
          </w:tcPr>
          <w:p>
            <w:pPr>
              <w:spacing w:after="40"/>
            </w:pPr>
            <w:r>
              <w:rPr>
                <w:rFonts w:ascii="Cambria" w:hAnsi="Cambria"/>
                <w:sz w:val="20"/>
              </w:rPr>
              <w:t>GMK Center со ссылкой на Kapital.uz, указ Президента о реформе экспорта, март 2025 г.</w:t>
            </w:r>
          </w:p>
        </w:tc>
        <w:tc>
          <w:tcPr>
            <w:tcW w:type="dxa" w:w="2835"/>
          </w:tcPr>
          <w:p>
            <w:pPr>
              <w:spacing w:after="40"/>
            </w:pPr>
            <w:hyperlink r:id="rId13">
              <w:r>
                <w:rPr>
                  <w:rFonts w:ascii="Cambria" w:hAnsi="Cambria"/>
                  <w:sz w:val="20"/>
                  <w:color w:val="0563C1"/>
                  <w:u w:val="single"/>
                </w:rPr>
                <w:t>https://gmk.center/news/uzbekistan-vvodit-poshlinu-na-eksport-loma-v-100/</w:t>
              </w:r>
            </w:hyperlink>
          </w:p>
        </w:tc>
        <w:tc>
          <w:tcPr>
            <w:tcW w:type="dxa" w:w="2835"/>
          </w:tcPr>
          <w:p>
            <w:pPr>
              <w:spacing w:after="40"/>
            </w:pPr>
            <w:r>
              <w:rPr>
                <w:rFonts w:ascii="Cambria" w:hAnsi="Cambria"/>
                <w:sz w:val="20"/>
              </w:rPr>
              <w:t>Максимальная ставка в 100% введена на экспорт лома и отходов черных и цветных металлов... Экспортные пошлины вводятся с 1 июля текущего года.</w:t>
            </w:r>
          </w:p>
        </w:tc>
        <w:tc>
          <w:tcPr>
            <w:tcW w:type="dxa" w:w="2835"/>
          </w:tcPr>
          <w:p>
            <w:pPr>
              <w:spacing w:after="40"/>
            </w:pPr>
            <w:r>
              <w:rPr>
                <w:rFonts w:ascii="Cambria" w:hAnsi="Cambria"/>
                <w:sz w:val="20"/>
              </w:rPr>
              <w:t>Справочно: Узбекистан с 1 июля 2025 г. ввёл экспортную пошлину 100% на лом и отходы чёрных и цветных металлов для поддержки выпуска готовой продукции из местного сырья.</w:t>
            </w:r>
          </w:p>
        </w:tc>
      </w:tr>
      <w:tr>
        <w:tc>
          <w:tcPr>
            <w:tcW w:type="dxa" w:w="567"/>
          </w:tcPr>
          <w:p>
            <w:pPr>
              <w:spacing w:after="40"/>
            </w:pPr>
            <w:r>
              <w:rPr>
                <w:rFonts w:ascii="Cambria" w:hAnsi="Cambria"/>
                <w:sz w:val="20"/>
              </w:rPr>
              <w:t>30</w:t>
            </w:r>
          </w:p>
        </w:tc>
        <w:tc>
          <w:tcPr>
            <w:tcW w:type="dxa" w:w="1134"/>
          </w:tcPr>
          <w:p>
            <w:pPr>
              <w:spacing w:after="40"/>
            </w:pPr>
            <w:r>
              <w:rPr>
                <w:rFonts w:ascii="Cambria" w:hAnsi="Cambria"/>
                <w:sz w:val="20"/>
              </w:rPr>
              <w:t>№3 (предложение (полный перечень))</w:t>
            </w:r>
          </w:p>
        </w:tc>
        <w:tc>
          <w:tcPr>
            <w:tcW w:type="dxa" w:w="1701"/>
          </w:tcPr>
          <w:p>
            <w:pPr>
              <w:spacing w:after="40"/>
            </w:pPr>
            <w:r>
              <w:rPr>
                <w:rFonts w:ascii="Cambria" w:hAnsi="Cambria"/>
                <w:sz w:val="20"/>
              </w:rPr>
              <w:t>Европейская служба внешних связей</w:t>
            </w:r>
          </w:p>
        </w:tc>
        <w:tc>
          <w:tcPr>
            <w:tcW w:type="dxa" w:w="2835"/>
          </w:tcPr>
          <w:p>
            <w:pPr>
              <w:spacing w:after="40"/>
            </w:pPr>
            <w:hyperlink r:id="rId11">
              <w:r>
                <w:rPr>
                  <w:rFonts w:ascii="Cambria" w:hAnsi="Cambria"/>
                  <w:sz w:val="20"/>
                  <w:color w:val="0563C1"/>
                  <w:u w:val="single"/>
                </w:rPr>
                <w:t>https://www.eeas.europa.eu/delegations/uzbekistan/eu-establishes-strategic-partnership-uzbekistan-critical-raw-materials_en</w:t>
              </w:r>
            </w:hyperlink>
          </w:p>
        </w:tc>
        <w:tc>
          <w:tcPr>
            <w:tcW w:type="dxa" w:w="2835"/>
          </w:tcPr>
          <w:p>
            <w:pPr>
              <w:spacing w:after="40"/>
            </w:pPr>
            <w:r>
              <w:rPr>
                <w:rFonts w:ascii="Cambria" w:hAnsi="Cambria"/>
                <w:sz w:val="20"/>
              </w:rPr>
              <w:t>EU establishes strategic partnership with Uzbekistan on critical raw materials (5 April 2024).</w:t>
            </w:r>
          </w:p>
        </w:tc>
        <w:tc>
          <w:tcPr>
            <w:tcW w:type="dxa" w:w="2835"/>
          </w:tcPr>
          <w:p>
            <w:pPr>
              <w:spacing w:after="40"/>
            </w:pPr>
            <w:r>
              <w:rPr>
                <w:rFonts w:ascii="Cambria" w:hAnsi="Cambria"/>
                <w:sz w:val="20"/>
              </w:rPr>
              <w:t>В апреле 2024 г. Узбекистан и ЕС подписали меморандум о стратегическом партнёрстве в сфере критического сырья.</w:t>
            </w:r>
          </w:p>
        </w:tc>
      </w:tr>
      <w:tr>
        <w:tc>
          <w:tcPr>
            <w:tcW w:type="dxa" w:w="567"/>
          </w:tcPr>
          <w:p>
            <w:pPr>
              <w:spacing w:after="40"/>
            </w:pPr>
            <w:r>
              <w:rPr>
                <w:rFonts w:ascii="Cambria" w:hAnsi="Cambria"/>
                <w:sz w:val="20"/>
              </w:rPr>
              <w:t>31</w:t>
            </w:r>
          </w:p>
        </w:tc>
        <w:tc>
          <w:tcPr>
            <w:tcW w:type="dxa" w:w="1134"/>
          </w:tcPr>
          <w:p>
            <w:pPr>
              <w:spacing w:after="40"/>
            </w:pPr>
            <w:r>
              <w:rPr>
                <w:rFonts w:ascii="Cambria" w:hAnsi="Cambria"/>
                <w:sz w:val="20"/>
              </w:rPr>
              <w:t>№5 (предложение (полный перечень))</w:t>
            </w:r>
          </w:p>
        </w:tc>
        <w:tc>
          <w:tcPr>
            <w:tcW w:type="dxa" w:w="1701"/>
          </w:tcPr>
          <w:p>
            <w:pPr>
              <w:spacing w:after="40"/>
            </w:pPr>
            <w:r>
              <w:rPr>
                <w:rFonts w:ascii="Cambria" w:hAnsi="Cambria"/>
                <w:sz w:val="20"/>
              </w:rPr>
              <w:t>GMK Center со ссылкой на Kapital.uz</w:t>
            </w:r>
          </w:p>
        </w:tc>
        <w:tc>
          <w:tcPr>
            <w:tcW w:type="dxa" w:w="2835"/>
          </w:tcPr>
          <w:p>
            <w:pPr>
              <w:spacing w:after="40"/>
            </w:pPr>
            <w:hyperlink r:id="rId13">
              <w:r>
                <w:rPr>
                  <w:rFonts w:ascii="Cambria" w:hAnsi="Cambria"/>
                  <w:sz w:val="20"/>
                  <w:color w:val="0563C1"/>
                  <w:u w:val="single"/>
                </w:rPr>
                <w:t>https://gmk.center/news/uzbekistan-vvodit-poshlinu-na-eksport-loma-v-100/</w:t>
              </w:r>
            </w:hyperlink>
          </w:p>
        </w:tc>
        <w:tc>
          <w:tcPr>
            <w:tcW w:type="dxa" w:w="2835"/>
          </w:tcPr>
          <w:p>
            <w:pPr>
              <w:spacing w:after="40"/>
            </w:pPr>
            <w:r>
              <w:rPr>
                <w:rFonts w:ascii="Cambria" w:hAnsi="Cambria"/>
                <w:sz w:val="20"/>
              </w:rPr>
              <w:t>Максимальная ставка в 100% введена на экспорт лома и отходов черных и цветных металлов... с 1 июля.</w:t>
            </w:r>
          </w:p>
        </w:tc>
        <w:tc>
          <w:tcPr>
            <w:tcW w:type="dxa" w:w="2835"/>
          </w:tcPr>
          <w:p>
            <w:pPr>
              <w:spacing w:after="40"/>
            </w:pPr>
            <w:r>
              <w:rPr>
                <w:rFonts w:ascii="Cambria" w:hAnsi="Cambria"/>
                <w:sz w:val="20"/>
              </w:rPr>
              <w:t>С 1 июля 2025 г. в Узбекистане действует экспортная пошлина 100% на лом чёрных и цветных металлов.</w:t>
            </w:r>
          </w:p>
        </w:tc>
      </w:tr>
      <w:tr>
        <w:tc>
          <w:tcPr>
            <w:tcW w:type="dxa" w:w="567"/>
          </w:tcPr>
          <w:p>
            <w:pPr>
              <w:spacing w:after="40"/>
            </w:pPr>
            <w:r>
              <w:rPr>
                <w:rFonts w:ascii="Cambria" w:hAnsi="Cambria"/>
                <w:sz w:val="20"/>
              </w:rPr>
              <w:t>32</w:t>
            </w:r>
          </w:p>
        </w:tc>
        <w:tc>
          <w:tcPr>
            <w:tcW w:type="dxa" w:w="1134"/>
          </w:tcPr>
          <w:p>
            <w:pPr>
              <w:spacing w:after="40"/>
            </w:pPr>
            <w:r>
              <w:rPr>
                <w:rFonts w:ascii="Cambria" w:hAnsi="Cambria"/>
                <w:sz w:val="20"/>
              </w:rPr>
              <w:t>№6 (предложение (полный перечень))</w:t>
            </w:r>
          </w:p>
        </w:tc>
        <w:tc>
          <w:tcPr>
            <w:tcW w:type="dxa" w:w="1701"/>
          </w:tcPr>
          <w:p>
            <w:pPr>
              <w:spacing w:after="40"/>
            </w:pPr>
            <w:r>
              <w:rPr>
                <w:rFonts w:ascii="Cambria" w:hAnsi="Cambria"/>
                <w:sz w:val="20"/>
              </w:rPr>
              <w:t>Kun.uz по данным Нацкомстата</w:t>
            </w:r>
          </w:p>
        </w:tc>
        <w:tc>
          <w:tcPr>
            <w:tcW w:type="dxa" w:w="2835"/>
          </w:tcPr>
          <w:p>
            <w:pPr>
              <w:spacing w:after="40"/>
            </w:pPr>
            <w:hyperlink r:id="rId9">
              <w:r>
                <w:rPr>
                  <w:rFonts w:ascii="Cambria" w:hAnsi="Cambria"/>
                  <w:sz w:val="20"/>
                  <w:color w:val="0563C1"/>
                  <w:u w:val="single"/>
                </w:rPr>
                <w:t>https://kun.uz/en/news/2026/01/22/record-gold-sales-lift-uzbekistans-exports-in-2025</w:t>
              </w:r>
            </w:hyperlink>
          </w:p>
        </w:tc>
        <w:tc>
          <w:tcPr>
            <w:tcW w:type="dxa" w:w="2835"/>
          </w:tcPr>
          <w:p>
            <w:pPr>
              <w:spacing w:after="40"/>
            </w:pPr>
            <w:r>
              <w:rPr>
                <w:rFonts w:ascii="Cambria" w:hAnsi="Cambria"/>
                <w:sz w:val="20"/>
              </w:rPr>
              <w:t>gold exports exceeded $9.9 billion, 32.3% higher; 29.2% of total exports.</w:t>
            </w:r>
          </w:p>
        </w:tc>
        <w:tc>
          <w:tcPr>
            <w:tcW w:type="dxa" w:w="2835"/>
          </w:tcPr>
          <w:p>
            <w:pPr>
              <w:spacing w:after="40"/>
            </w:pPr>
            <w:r>
              <w:rPr>
                <w:rFonts w:ascii="Cambria" w:hAnsi="Cambria"/>
                <w:sz w:val="20"/>
              </w:rPr>
              <w:t>В 2025 г. экспорт золота превысил $9,9 млрд., или 29,2% всего экспорта Узбекистана.</w:t>
            </w:r>
          </w:p>
        </w:tc>
      </w:tr>
      <w:tr>
        <w:tc>
          <w:tcPr>
            <w:tcW w:type="dxa" w:w="567"/>
          </w:tcPr>
          <w:p>
            <w:pPr>
              <w:spacing w:after="40"/>
            </w:pPr>
            <w:r>
              <w:rPr>
                <w:rFonts w:ascii="Cambria" w:hAnsi="Cambria"/>
                <w:sz w:val="20"/>
              </w:rPr>
              <w:t>35</w:t>
            </w:r>
          </w:p>
        </w:tc>
        <w:tc>
          <w:tcPr>
            <w:tcW w:type="dxa" w:w="1134"/>
          </w:tcPr>
          <w:p>
            <w:pPr>
              <w:spacing w:after="40"/>
            </w:pPr>
            <w:r>
              <w:rPr>
                <w:rFonts w:ascii="Cambria" w:hAnsi="Cambria"/>
                <w:sz w:val="20"/>
              </w:rPr>
              <w:t>№8 (предложение (полный перечень))</w:t>
            </w:r>
          </w:p>
        </w:tc>
        <w:tc>
          <w:tcPr>
            <w:tcW w:type="dxa" w:w="1701"/>
          </w:tcPr>
          <w:p>
            <w:pPr>
              <w:spacing w:after="40"/>
            </w:pPr>
            <w:r>
              <w:rPr>
                <w:rFonts w:ascii="Cambria" w:hAnsi="Cambria"/>
                <w:sz w:val="20"/>
              </w:rPr>
              <w:t>gov.uz</w:t>
            </w:r>
          </w:p>
        </w:tc>
        <w:tc>
          <w:tcPr>
            <w:tcW w:type="dxa" w:w="2835"/>
          </w:tcPr>
          <w:p>
            <w:pPr>
              <w:spacing w:after="40"/>
            </w:pPr>
            <w:hyperlink r:id="rId12">
              <w:r>
                <w:rPr>
                  <w:rFonts w:ascii="Cambria" w:hAnsi="Cambria"/>
                  <w:sz w:val="20"/>
                  <w:color w:val="0563C1"/>
                  <w:u w:val="single"/>
                </w:rPr>
                <w:t>https://gov.uz/ru/kongeotexnazorat/news/view/230051</w:t>
              </w:r>
            </w:hyperlink>
          </w:p>
        </w:tc>
        <w:tc>
          <w:tcPr>
            <w:tcW w:type="dxa" w:w="2835"/>
          </w:tcPr>
          <w:p>
            <w:pPr>
              <w:spacing w:after="40"/>
            </w:pPr>
            <w:r>
              <w:rPr>
                <w:rFonts w:ascii="Cambria" w:hAnsi="Cambria"/>
                <w:sz w:val="20"/>
              </w:rPr>
              <w:t>единая цифровая карта минерально-сырьевых ресурсов региона</w:t>
            </w:r>
          </w:p>
        </w:tc>
        <w:tc>
          <w:tcPr>
            <w:tcW w:type="dxa" w:w="2835"/>
          </w:tcPr>
          <w:p>
            <w:pPr>
              <w:spacing w:after="40"/>
            </w:pPr>
            <w:r>
              <w:rPr>
                <w:rFonts w:ascii="Cambria" w:hAnsi="Cambria"/>
                <w:sz w:val="20"/>
              </w:rPr>
              <w:t>В октябре 2026 г. Президент Узбекистана предложил создать единую цифровую карту минеральных ресурсов Центральной Азии.</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un.uz/en/news/2026/01/22/record-gold-sales-lift-uzbekistans-exports-in-2025" TargetMode="External"/><Relationship Id="rId10" Type="http://schemas.openxmlformats.org/officeDocument/2006/relationships/hyperlink" Target="https://podrobno.uz/cat/economic/budushchee-kombinata-kak-agmk-realizuet-krupnyy-investproekt-po-uvelicheniyu-dobychi-medi/" TargetMode="External"/><Relationship Id="rId11" Type="http://schemas.openxmlformats.org/officeDocument/2006/relationships/hyperlink" Target="https://www.eeas.europa.eu/delegations/uzbekistan/eu-establishes-strategic-partnership-uzbekistan-critical-raw-materials_en" TargetMode="External"/><Relationship Id="rId12" Type="http://schemas.openxmlformats.org/officeDocument/2006/relationships/hyperlink" Target="https://gov.uz/ru/kongeotexnazorat/news/view/230051" TargetMode="External"/><Relationship Id="rId13" Type="http://schemas.openxmlformats.org/officeDocument/2006/relationships/hyperlink" Target="https://gmk.center/news/uzbekistan-vvodit-poshlinu-na-eksport-loma-v-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