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BAPC VPN &amp; Digital Security™</w:t>
        <w:br/>
        <w:t>Final Production Addendum</w:t>
      </w:r>
    </w:p>
    <w:p>
      <w:pPr>
        <w:jc w:val="center"/>
      </w:pPr>
      <w:r>
        <w:rPr>
          <w:b/>
        </w:rPr>
        <w:t>Last implementation package before final ZIP assembly and Universal Final Audit</w:t>
      </w:r>
    </w:p>
    <w:p>
      <w:r>
        <w:rPr>
          <w:b/>
        </w:rPr>
        <w:t xml:space="preserve">Purpose. </w:t>
      </w:r>
      <w:r>
        <w:t>This document defines the remaining production components that must be included after the existing Full Code Packets and Code Addendum. It is the final implementation checklist for turning the tested TypeScript control-plane foundation into a deployable, recoverable, multi-platform BAPC VPN &amp; Digital Security™ system.</w:t>
      </w:r>
    </w:p>
    <w:p>
      <w:r>
        <w:rPr>
          <w:b/>
        </w:rPr>
        <w:t xml:space="preserve">Completion rule. </w:t>
      </w:r>
      <w:r>
        <w:t>The project should not be labeled production-complete until the native adapters, protected trust components, installers, deployment assets, resilience tests, monitoring, backup/restore procedures, manuals and final live audit are all implemented and verified.</w:t>
      </w:r>
    </w:p>
    <w:p>
      <w:pPr>
        <w:pStyle w:val="Heading1"/>
      </w:pPr>
      <w:r>
        <w:t>1. Final Production Components</w:t>
      </w:r>
    </w:p>
    <w:p>
      <w:pPr>
        <w:spacing w:after="40"/>
      </w:pPr>
      <w:r>
        <w:rPr>
          <w:b/>
        </w:rPr>
        <w:t>1. Native Network Adapters</w:t>
      </w:r>
    </w:p>
    <w:p>
      <w:pPr>
        <w:spacing w:after="100"/>
        <w:ind w:left="288"/>
      </w:pPr>
      <w:r>
        <w:t>Implement real privileged adapters for Linux WireGuard/netlink and nftables/eBPF; Windows WireGuard and Windows Filtering Platform; macOS/iOS/iPadOS NetworkExtension/System Extension within platform entitlements. These adapters bind the existing PlatformAdapter and mesh/firewall orchestration to the operating system.</w:t>
      </w:r>
    </w:p>
    <w:p>
      <w:pPr>
        <w:spacing w:after="40"/>
      </w:pPr>
      <w:r>
        <w:rPr>
          <w:b/>
        </w:rPr>
        <w:t>2. Protected Trust / HSM-KMS Adapter</w:t>
      </w:r>
    </w:p>
    <w:p>
      <w:pPr>
        <w:spacing w:after="100"/>
        <w:ind w:left="288"/>
      </w:pPr>
      <w:r>
        <w:t>Connect Trust Core to an approved HSM or KMS. Root and intermediate signing keys must remain protected and referenced by key identifiers only. Include certificate issue, rotation, revocation, CRL/OCSP support where used, audit records and recovery procedures.</w:t>
      </w:r>
    </w:p>
    <w:p>
      <w:pPr>
        <w:spacing w:after="40"/>
      </w:pPr>
      <w:r>
        <w:rPr>
          <w:b/>
        </w:rPr>
        <w:t>3. X.509 Enrollment Service</w:t>
      </w:r>
    </w:p>
    <w:p>
      <w:pPr>
        <w:spacing w:after="100"/>
        <w:ind w:left="288"/>
      </w:pPr>
      <w:r>
        <w:t>Complete node certificate enrollment and renewal using ACME, EST or an equivalent authenticated enrollment flow. Enforce short-lived mTLS certificates, replay protection, attestation requirements and revocation.</w:t>
      </w:r>
    </w:p>
    <w:p>
      <w:pPr>
        <w:spacing w:after="40"/>
      </w:pPr>
      <w:r>
        <w:rPr>
          <w:b/>
        </w:rPr>
        <w:t>4. Database Migration Runner</w:t>
      </w:r>
    </w:p>
    <w:p>
      <w:pPr>
        <w:spacing w:after="100"/>
        <w:ind w:left="288"/>
      </w:pPr>
      <w:r>
        <w:t>Add an ordered migration runner for db/001 through current migrations. It must track applied migrations, lock concurrent migration attempts, fail safely and support backup-before-migration procedures.</w:t>
      </w:r>
    </w:p>
    <w:p>
      <w:pPr>
        <w:spacing w:after="40"/>
      </w:pPr>
      <w:r>
        <w:rPr>
          <w:b/>
        </w:rPr>
        <w:t>5. Endpoint Installers and Updaters</w:t>
      </w:r>
    </w:p>
    <w:p>
      <w:pPr>
        <w:spacing w:after="100"/>
        <w:ind w:left="288"/>
      </w:pPr>
      <w:r>
        <w:t>Provide signed installers and update mechanisms for Linux, Windows and macOS agents, plus the permitted Apple mobile VPN client. Include uninstall, repair, rollback, service recovery and version reporting.</w:t>
      </w:r>
    </w:p>
    <w:p>
      <w:pPr>
        <w:spacing w:after="40"/>
      </w:pPr>
      <w:r>
        <w:rPr>
          <w:b/>
        </w:rPr>
        <w:t>6. Relay and Egress Deployment</w:t>
      </w:r>
    </w:p>
    <w:p>
      <w:pPr>
        <w:spacing w:after="100"/>
        <w:ind w:left="288"/>
      </w:pPr>
      <w:r>
        <w:t>Create multi-region relay and fixed-IP egress deployment definitions, health probes, capacity limits, failover priorities, abuse controls and regional configuration. Use at least two independent failure domains before production activation.</w:t>
      </w:r>
    </w:p>
    <w:p>
      <w:pPr>
        <w:spacing w:after="40"/>
      </w:pPr>
      <w:r>
        <w:rPr>
          <w:b/>
        </w:rPr>
        <w:t>7. Secure DNS Deployment</w:t>
      </w:r>
    </w:p>
    <w:p>
      <w:pPr>
        <w:spacing w:after="100"/>
        <w:ind w:left="288"/>
      </w:pPr>
      <w:r>
        <w:t>Deploy the DNS protection service with DoH/DoT upstreams, internal service discovery, threat-feed ingestion, sinkhole behavior, resolver failover, privacy-preserving logging and host resolver integration.</w:t>
      </w:r>
    </w:p>
    <w:p>
      <w:pPr>
        <w:spacing w:after="40"/>
      </w:pPr>
      <w:r>
        <w:rPr>
          <w:b/>
        </w:rPr>
        <w:t>8. API Rate Limiting / Idempotency / Replay Enforcement</w:t>
      </w:r>
    </w:p>
    <w:p>
      <w:pPr>
        <w:spacing w:after="100"/>
        <w:ind w:left="288"/>
      </w:pPr>
      <w:r>
        <w:t>Wire the existing database primitives into live request handling. Add per-identity and per-endpoint rate limits, idempotency-key verification for state-changing operations, nonce/replay checks, request timestamps and cleanup jobs.</w:t>
      </w:r>
    </w:p>
    <w:p>
      <w:pPr>
        <w:spacing w:after="40"/>
      </w:pPr>
      <w:r>
        <w:rPr>
          <w:b/>
        </w:rPr>
        <w:t>9. Secrets and Environment Configuration</w:t>
      </w:r>
    </w:p>
    <w:p>
      <w:pPr>
        <w:spacing w:after="100"/>
        <w:ind w:left="288"/>
      </w:pPr>
      <w:r>
        <w:t>Add .env.example or equivalent configuration templates documenting required values without containing secrets. Production must reject default development credentials and load secrets from the approved secret-management path.</w:t>
      </w:r>
    </w:p>
    <w:p>
      <w:pPr>
        <w:spacing w:after="40"/>
      </w:pPr>
      <w:r>
        <w:rPr>
          <w:b/>
        </w:rPr>
        <w:t>10. Observability and Alerts</w:t>
      </w:r>
    </w:p>
    <w:p>
      <w:pPr>
        <w:spacing w:after="100"/>
        <w:ind w:left="288"/>
      </w:pPr>
      <w:r>
        <w:t>Add structured logs, metrics, traces, health indicators and alert rules for controllers, database, Trust Core, mesh, agents, relays, DNS, quarantine, OOB recovery and failed security actions. Surface critical health in the owner/SOC views.</w:t>
      </w:r>
    </w:p>
    <w:p>
      <w:pPr>
        <w:spacing w:after="40"/>
      </w:pPr>
      <w:r>
        <w:rPr>
          <w:b/>
        </w:rPr>
        <w:t>11. Backup and Restore</w:t>
      </w:r>
    </w:p>
    <w:p>
      <w:pPr>
        <w:spacing w:after="100"/>
        <w:ind w:left="288"/>
      </w:pPr>
      <w:r>
        <w:t>Add automated PostgreSQL backup, configuration snapshot, certificate metadata backup and restore procedures. Test point-in-time recovery and restoration into an isolated environment.</w:t>
      </w:r>
    </w:p>
    <w:p>
      <w:pPr>
        <w:spacing w:after="40"/>
      </w:pPr>
      <w:r>
        <w:rPr>
          <w:b/>
        </w:rPr>
        <w:t>12. Production Test Suites</w:t>
      </w:r>
    </w:p>
    <w:p>
      <w:pPr>
        <w:spacing w:after="100"/>
        <w:ind w:left="288"/>
      </w:pPr>
      <w:r>
        <w:t>Add PostgreSQL integration tests, certificate rotation/revocation tests, network mesh tests, firewall safe-apply/rollback tests, DNS failover tests, agent recovery tests, relay/egress loss tests, OOB rollback tests, quarantine/restore tests and SOC E2E tests.</w:t>
      </w:r>
    </w:p>
    <w:p>
      <w:pPr>
        <w:spacing w:after="40"/>
      </w:pPr>
      <w:r>
        <w:rPr>
          <w:b/>
        </w:rPr>
        <w:t>13. Full-Stack Deployment Assets</w:t>
      </w:r>
    </w:p>
    <w:p>
      <w:pPr>
        <w:spacing w:after="100"/>
        <w:ind w:left="288"/>
      </w:pPr>
      <w:r>
        <w:t>Create production deployment files for the control plane, database, DNS, relays, egress, Trust Core integrations, monitoring, OOB endpoints and SOC backend. Include readiness/liveness checks, resource limits, network policy and rollback instructions.</w:t>
      </w:r>
    </w:p>
    <w:p>
      <w:pPr>
        <w:spacing w:after="40"/>
      </w:pPr>
      <w:r>
        <w:rPr>
          <w:b/>
        </w:rPr>
        <w:t>14. Operations Manuals and Incident Runbooks</w:t>
      </w:r>
    </w:p>
    <w:p>
      <w:pPr>
        <w:spacing w:after="100"/>
        <w:ind w:left="288"/>
      </w:pPr>
      <w:r>
        <w:t>Finalize installation, administration, user/client setup, incident response, compromised-device containment, certificate compromise, lost-controller, relay outage, DNS outage, database restore and emergency lockdown procedures.</w:t>
      </w:r>
    </w:p>
    <w:p>
      <w:pPr>
        <w:spacing w:after="40"/>
      </w:pPr>
      <w:r>
        <w:rPr>
          <w:b/>
        </w:rPr>
        <w:t>15. Universal Final Audit</w:t>
      </w:r>
    </w:p>
    <w:p>
      <w:pPr>
        <w:spacing w:after="100"/>
        <w:ind w:left="288"/>
      </w:pPr>
      <w:r>
        <w:t>After live deployment, run the BAPC Universal Final Audit across routes, authentication, device enrollment, VPN connectivity, policy enforcement, DNS, relays, OOB recovery, threat response, SOC controls, mobile/desktop behavior, backups, monitoring, copyright and cleanup of test accounts/data.</w:t>
      </w:r>
    </w:p>
    <w:p>
      <w:pPr>
        <w:pStyle w:val="Heading1"/>
      </w:pPr>
      <w:r>
        <w:t>2. Required Repository Areas</w:t>
      </w:r>
    </w:p>
    <w:tbl>
      <w:tblPr>
        <w:tblStyle w:val="TableGrid"/>
        <w:tblW w:type="auto" w:w="0"/>
        <w:jc w:val="center"/>
        <w:tblLook w:firstColumn="1" w:firstRow="1" w:lastColumn="0" w:lastRow="0" w:noHBand="0" w:noVBand="1" w:val="04A0"/>
      </w:tblPr>
      <w:tblGrid>
        <w:gridCol w:w="5184"/>
        <w:gridCol w:w="5184"/>
      </w:tblGrid>
      <w:tr>
        <w:tc>
          <w:tcPr>
            <w:tcW w:type="dxa" w:w="5184"/>
          </w:tcPr>
          <w:p>
            <w:r>
              <w:t>Area</w:t>
            </w:r>
          </w:p>
        </w:tc>
        <w:tc>
          <w:tcPr>
            <w:tcW w:type="dxa" w:w="5184"/>
          </w:tcPr>
          <w:p>
            <w:r>
              <w:t>Expected Repository Location</w:t>
            </w:r>
          </w:p>
        </w:tc>
      </w:tr>
      <w:tr>
        <w:tc>
          <w:tcPr>
            <w:tcW w:type="dxa" w:w="5184"/>
            <w:vAlign w:val="top"/>
          </w:tcPr>
          <w:p>
            <w:r>
              <w:t>Native Linux</w:t>
            </w:r>
          </w:p>
        </w:tc>
        <w:tc>
          <w:tcPr>
            <w:tcW w:type="dxa" w:w="5184"/>
            <w:vAlign w:val="top"/>
          </w:tcPr>
          <w:p>
            <w:r>
              <w:t>native/linux/wireguard/*; native/linux/policy/*; agents/linux/*</w:t>
            </w:r>
          </w:p>
        </w:tc>
      </w:tr>
      <w:tr>
        <w:tc>
          <w:tcPr>
            <w:tcW w:type="dxa" w:w="5184"/>
            <w:vAlign w:val="top"/>
          </w:tcPr>
          <w:p>
            <w:r>
              <w:t>Native Windows</w:t>
            </w:r>
          </w:p>
        </w:tc>
        <w:tc>
          <w:tcPr>
            <w:tcW w:type="dxa" w:w="5184"/>
            <w:vAlign w:val="top"/>
          </w:tcPr>
          <w:p>
            <w:r>
              <w:t>native/windows/wireguard/*; native/windows/wfp/*; agents/windows/*</w:t>
            </w:r>
          </w:p>
        </w:tc>
      </w:tr>
      <w:tr>
        <w:tc>
          <w:tcPr>
            <w:tcW w:type="dxa" w:w="5184"/>
            <w:vAlign w:val="top"/>
          </w:tcPr>
          <w:p>
            <w:r>
              <w:t>Native Apple</w:t>
            </w:r>
          </w:p>
        </w:tc>
        <w:tc>
          <w:tcPr>
            <w:tcW w:type="dxa" w:w="5184"/>
            <w:vAlign w:val="top"/>
          </w:tcPr>
          <w:p>
            <w:r>
              <w:t>native/apple/network-extension/*; native/apple/policy/*; agents/apple/*</w:t>
            </w:r>
          </w:p>
        </w:tc>
      </w:tr>
      <w:tr>
        <w:tc>
          <w:tcPr>
            <w:tcW w:type="dxa" w:w="5184"/>
            <w:vAlign w:val="top"/>
          </w:tcPr>
          <w:p>
            <w:r>
              <w:t>Trust Core</w:t>
            </w:r>
          </w:p>
        </w:tc>
        <w:tc>
          <w:tcPr>
            <w:tcW w:type="dxa" w:w="5184"/>
            <w:vAlign w:val="top"/>
          </w:tcPr>
          <w:p>
            <w:r>
              <w:t>services/trust-core/*; deploy/hsm/*; runbooks/root-ca-ceremony.md</w:t>
            </w:r>
          </w:p>
        </w:tc>
      </w:tr>
      <w:tr>
        <w:tc>
          <w:tcPr>
            <w:tcW w:type="dxa" w:w="5184"/>
            <w:vAlign w:val="top"/>
          </w:tcPr>
          <w:p>
            <w:r>
              <w:t>Enrollment</w:t>
            </w:r>
          </w:p>
        </w:tc>
        <w:tc>
          <w:tcPr>
            <w:tcW w:type="dxa" w:w="5184"/>
            <w:vAlign w:val="top"/>
          </w:tcPr>
          <w:p>
            <w:r>
              <w:t>services/enrollment/*; contracts/certificate-enrollment.*</w:t>
            </w:r>
          </w:p>
        </w:tc>
      </w:tr>
      <w:tr>
        <w:tc>
          <w:tcPr>
            <w:tcW w:type="dxa" w:w="5184"/>
            <w:vAlign w:val="top"/>
          </w:tcPr>
          <w:p>
            <w:r>
              <w:t>Migrations</w:t>
            </w:r>
          </w:p>
        </w:tc>
        <w:tc>
          <w:tcPr>
            <w:tcW w:type="dxa" w:w="5184"/>
            <w:vAlign w:val="top"/>
          </w:tcPr>
          <w:p>
            <w:r>
              <w:t>db/*; tools/migrate/*</w:t>
            </w:r>
          </w:p>
        </w:tc>
      </w:tr>
      <w:tr>
        <w:tc>
          <w:tcPr>
            <w:tcW w:type="dxa" w:w="5184"/>
            <w:vAlign w:val="top"/>
          </w:tcPr>
          <w:p>
            <w:r>
              <w:t>Installers</w:t>
            </w:r>
          </w:p>
        </w:tc>
        <w:tc>
          <w:tcPr>
            <w:tcW w:type="dxa" w:w="5184"/>
            <w:vAlign w:val="top"/>
          </w:tcPr>
          <w:p>
            <w:r>
              <w:t>installers/linux/*; installers/windows/*; installers/apple/*</w:t>
            </w:r>
          </w:p>
        </w:tc>
      </w:tr>
      <w:tr>
        <w:tc>
          <w:tcPr>
            <w:tcW w:type="dxa" w:w="5184"/>
            <w:vAlign w:val="top"/>
          </w:tcPr>
          <w:p>
            <w:r>
              <w:t>DNS</w:t>
            </w:r>
          </w:p>
        </w:tc>
        <w:tc>
          <w:tcPr>
            <w:tcW w:type="dxa" w:w="5184"/>
            <w:vAlign w:val="top"/>
          </w:tcPr>
          <w:p>
            <w:r>
              <w:t>services/dns/*; plugins/coredns-bapc/*; deploy/dns/*</w:t>
            </w:r>
          </w:p>
        </w:tc>
      </w:tr>
      <w:tr>
        <w:tc>
          <w:tcPr>
            <w:tcW w:type="dxa" w:w="5184"/>
            <w:vAlign w:val="top"/>
          </w:tcPr>
          <w:p>
            <w:r>
              <w:t>Relays/Egress</w:t>
            </w:r>
          </w:p>
        </w:tc>
        <w:tc>
          <w:tcPr>
            <w:tcW w:type="dxa" w:w="5184"/>
            <w:vAlign w:val="top"/>
          </w:tcPr>
          <w:p>
            <w:r>
              <w:t>services/relay/*; services/egress/*; deploy/regions/*</w:t>
            </w:r>
          </w:p>
        </w:tc>
      </w:tr>
      <w:tr>
        <w:tc>
          <w:tcPr>
            <w:tcW w:type="dxa" w:w="5184"/>
            <w:vAlign w:val="top"/>
          </w:tcPr>
          <w:p>
            <w:r>
              <w:t>OOB Recovery</w:t>
            </w:r>
          </w:p>
        </w:tc>
        <w:tc>
          <w:tcPr>
            <w:tcW w:type="dxa" w:w="5184"/>
            <w:vAlign w:val="top"/>
          </w:tcPr>
          <w:p>
            <w:r>
              <w:t>services/oob-controller/*; agents/shared/oob/*; deploy/oob/*</w:t>
            </w:r>
          </w:p>
        </w:tc>
      </w:tr>
      <w:tr>
        <w:tc>
          <w:tcPr>
            <w:tcW w:type="dxa" w:w="5184"/>
            <w:vAlign w:val="top"/>
          </w:tcPr>
          <w:p>
            <w:r>
              <w:t>Observability</w:t>
            </w:r>
          </w:p>
        </w:tc>
        <w:tc>
          <w:tcPr>
            <w:tcW w:type="dxa" w:w="5184"/>
            <w:vAlign w:val="top"/>
          </w:tcPr>
          <w:p>
            <w:r>
              <w:t>observability/metrics/*; observability/alerts/*; observability/dashboards/*</w:t>
            </w:r>
          </w:p>
        </w:tc>
      </w:tr>
      <w:tr>
        <w:tc>
          <w:tcPr>
            <w:tcW w:type="dxa" w:w="5184"/>
            <w:vAlign w:val="top"/>
          </w:tcPr>
          <w:p>
            <w:r>
              <w:t>Backups</w:t>
            </w:r>
          </w:p>
        </w:tc>
        <w:tc>
          <w:tcPr>
            <w:tcW w:type="dxa" w:w="5184"/>
            <w:vAlign w:val="top"/>
          </w:tcPr>
          <w:p>
            <w:r>
              <w:t>ops/backup/*; ops/restore/*; runbooks/disaster-recovery.md</w:t>
            </w:r>
          </w:p>
        </w:tc>
      </w:tr>
      <w:tr>
        <w:tc>
          <w:tcPr>
            <w:tcW w:type="dxa" w:w="5184"/>
            <w:vAlign w:val="top"/>
          </w:tcPr>
          <w:p>
            <w:r>
              <w:t>Tests</w:t>
            </w:r>
          </w:p>
        </w:tc>
        <w:tc>
          <w:tcPr>
            <w:tcW w:type="dxa" w:w="5184"/>
            <w:vAlign w:val="top"/>
          </w:tcPr>
          <w:p>
            <w:r>
              <w:t>tests/integration/*; tests/network/*; tests/security/*; tests/resilience/*; tests/e2e/*</w:t>
            </w:r>
          </w:p>
        </w:tc>
      </w:tr>
      <w:tr>
        <w:tc>
          <w:tcPr>
            <w:tcW w:type="dxa" w:w="5184"/>
            <w:vAlign w:val="top"/>
          </w:tcPr>
          <w:p>
            <w:r>
              <w:t>Manuals/Audits</w:t>
            </w:r>
          </w:p>
        </w:tc>
        <w:tc>
          <w:tcPr>
            <w:tcW w:type="dxa" w:w="5184"/>
            <w:vAlign w:val="top"/>
          </w:tcPr>
          <w:p>
            <w:r>
              <w:t>manuals/*; runbooks/*; audits/*</w:t>
            </w:r>
          </w:p>
        </w:tc>
      </w:tr>
    </w:tbl>
    <w:p>
      <w:pPr>
        <w:pStyle w:val="Heading1"/>
      </w:pPr>
      <w:r>
        <w:t>3. Recommended Final Build Sequence</w:t>
      </w:r>
    </w:p>
    <w:p>
      <w:r>
        <w:rPr>
          <w:b/>
        </w:rPr>
        <w:t>Phase 1 - Native Binding</w:t>
      </w:r>
      <w:r>
        <w:t xml:space="preserve"> - Complete Linux, Windows and Apple platform adapters and verify tunnel/firewall/DNS control on each supported platform.</w:t>
      </w:r>
    </w:p>
    <w:p>
      <w:r>
        <w:rPr>
          <w:b/>
        </w:rPr>
        <w:t>Phase 2 - Trust and Enrollment</w:t>
      </w:r>
      <w:r>
        <w:t xml:space="preserve"> - Bind HSM/KMS, complete X.509 enrollment/rotation/revocation and verify protected key handling.</w:t>
      </w:r>
    </w:p>
    <w:p>
      <w:r>
        <w:rPr>
          <w:b/>
        </w:rPr>
        <w:t>Phase 3 - Deployment Infrastructure</w:t>
      </w:r>
      <w:r>
        <w:t xml:space="preserve"> - Deploy database migrations, DNS, relays, egress, OOB control, monitoring and backup systems.</w:t>
      </w:r>
    </w:p>
    <w:p>
      <w:r>
        <w:rPr>
          <w:b/>
        </w:rPr>
        <w:t>Phase 4 - Installers and Clients</w:t>
      </w:r>
      <w:r>
        <w:t xml:space="preserve"> - Build and sign installers/clients, then verify enrollment, upgrade, repair, rollback and uninstall.</w:t>
      </w:r>
    </w:p>
    <w:p>
      <w:r>
        <w:rPr>
          <w:b/>
        </w:rPr>
        <w:t>Phase 5 - Failure and Security Testing</w:t>
      </w:r>
      <w:r>
        <w:t xml:space="preserve"> - Run failover, rollback, quarantine, compromised-node, certificate-revocation, relay-loss, DNS-loss, controller-loss and restore drills.</w:t>
      </w:r>
    </w:p>
    <w:p>
      <w:r>
        <w:rPr>
          <w:b/>
        </w:rPr>
        <w:t>Phase 6 - Full Package Assembly</w:t>
      </w:r>
      <w:r>
        <w:t xml:space="preserve"> - Combine the original specification documents, Full Code Packets, Code Addendum and this Final Production Addendum into the final repository/package and ZIP.</w:t>
      </w:r>
    </w:p>
    <w:p>
      <w:r>
        <w:rPr>
          <w:b/>
        </w:rPr>
        <w:t>Phase 7 - Universal Final Audit</w:t>
      </w:r>
      <w:r>
        <w:t xml:space="preserve"> - Deploy the release candidate, perform live production verification and generate the final BAPC audit report before marking the system complete.</w:t>
      </w:r>
    </w:p>
    <w:p>
      <w:pPr>
        <w:pStyle w:val="Heading1"/>
      </w:pPr>
      <w:r>
        <w:t>4. Production Acceptance Gates</w:t>
      </w:r>
    </w:p>
    <w:p>
      <w:pPr>
        <w:pStyle w:val="ListBullet"/>
      </w:pPr>
      <w:r>
        <w:t>No development-only adapter is enabled in production.</w:t>
      </w:r>
    </w:p>
    <w:p>
      <w:pPr>
        <w:pStyle w:val="ListBullet"/>
      </w:pPr>
      <w:r>
        <w:t>No private CA, HSM, KMS or WireGuard private key is stored in source control or PostgreSQL.</w:t>
      </w:r>
    </w:p>
    <w:p>
      <w:pPr>
        <w:pStyle w:val="ListBullet"/>
      </w:pPr>
      <w:r>
        <w:t>All privileged network changes support safe-apply, verification and rollback.</w:t>
      </w:r>
    </w:p>
    <w:p>
      <w:pPr>
        <w:pStyle w:val="ListBullet"/>
      </w:pPr>
      <w:r>
        <w:t>OOB control is operational before high-risk firewall or mesh policy changes.</w:t>
      </w:r>
    </w:p>
    <w:p>
      <w:pPr>
        <w:pStyle w:val="ListBullet"/>
      </w:pPr>
      <w:r>
        <w:t>At least two relay/egress failure domains are live and failover is tested.</w:t>
      </w:r>
    </w:p>
    <w:p>
      <w:pPr>
        <w:pStyle w:val="ListBullet"/>
      </w:pPr>
      <w:r>
        <w:t>Certificate issue, renewal, rotation and revocation are tested end-to-end.</w:t>
      </w:r>
    </w:p>
    <w:p>
      <w:pPr>
        <w:pStyle w:val="ListBullet"/>
      </w:pPr>
      <w:r>
        <w:t>Endpoint agents survive restart and recover safely from failed updates.</w:t>
      </w:r>
    </w:p>
    <w:p>
      <w:pPr>
        <w:pStyle w:val="ListBullet"/>
      </w:pPr>
      <w:r>
        <w:t>DNS filtering and upstream failover work without disabling internal service discovery.</w:t>
      </w:r>
    </w:p>
    <w:p>
      <w:pPr>
        <w:pStyle w:val="ListBullet"/>
      </w:pPr>
      <w:r>
        <w:t>Backups restore successfully into an isolated environment.</w:t>
      </w:r>
    </w:p>
    <w:p>
      <w:pPr>
        <w:pStyle w:val="ListBullet"/>
      </w:pPr>
      <w:r>
        <w:t>Critical security events reach the SOC/owner control surface and immutable audit path.</w:t>
      </w:r>
    </w:p>
    <w:p>
      <w:pPr>
        <w:pStyle w:val="ListBullet"/>
      </w:pPr>
      <w:r>
        <w:t>All integration, network, security, resilience and E2E tests pass.</w:t>
      </w:r>
    </w:p>
    <w:p>
      <w:pPr>
        <w:pStyle w:val="ListBullet"/>
      </w:pPr>
      <w:r>
        <w:t>The Universal Final Audit passes before production-complete status is declared.</w:t>
      </w:r>
    </w:p>
    <w:p>
      <w:pPr>
        <w:pStyle w:val="Heading1"/>
      </w:pPr>
      <w:r>
        <w:t>5. Final Package Contents</w:t>
      </w:r>
    </w:p>
    <w:p>
      <w:pPr>
        <w:pStyle w:val="ListBullet"/>
      </w:pPr>
      <w:r>
        <w:t>BAPC VPN &amp; Digital Security™ master specification documents (sec.01, sec.2, sec.3).</w:t>
      </w:r>
    </w:p>
    <w:p>
      <w:pPr>
        <w:pStyle w:val="ListBullet"/>
      </w:pPr>
      <w:r>
        <w:t>Original code documents sec.code.01 through sec.code.05.</w:t>
      </w:r>
    </w:p>
    <w:p>
      <w:pPr>
        <w:pStyle w:val="ListBullet"/>
      </w:pPr>
      <w:r>
        <w:t>BAPC.Security.Full.Code.Packet.01 and Packet.02.</w:t>
      </w:r>
    </w:p>
    <w:p>
      <w:pPr>
        <w:pStyle w:val="ListBullet"/>
      </w:pPr>
      <w:r>
        <w:t>Code Addendum (Version 0.3.0 continuation).</w:t>
      </w:r>
    </w:p>
    <w:p>
      <w:pPr>
        <w:pStyle w:val="ListBullet"/>
      </w:pPr>
      <w:r>
        <w:t>This Final Production Addendum.</w:t>
      </w:r>
    </w:p>
    <w:p>
      <w:pPr>
        <w:pStyle w:val="ListBullet"/>
      </w:pPr>
      <w:r>
        <w:t>Complete source repository including native/platform components.</w:t>
      </w:r>
    </w:p>
    <w:p>
      <w:pPr>
        <w:pStyle w:val="ListBullet"/>
      </w:pPr>
      <w:r>
        <w:t>Database migrations and migration runner.</w:t>
      </w:r>
    </w:p>
    <w:p>
      <w:pPr>
        <w:pStyle w:val="ListBullet"/>
      </w:pPr>
      <w:r>
        <w:t>Deployment, monitoring, backup and recovery assets.</w:t>
      </w:r>
    </w:p>
    <w:p>
      <w:pPr>
        <w:pStyle w:val="ListBullet"/>
      </w:pPr>
      <w:r>
        <w:t>Signed installer/client build definitions.</w:t>
      </w:r>
    </w:p>
    <w:p>
      <w:pPr>
        <w:pStyle w:val="ListBullet"/>
      </w:pPr>
      <w:r>
        <w:t>Automated test suites and test results.</w:t>
      </w:r>
    </w:p>
    <w:p>
      <w:pPr>
        <w:pStyle w:val="ListBullet"/>
      </w:pPr>
      <w:r>
        <w:t>Operations/admin/user manuals and incident-response runbooks.</w:t>
      </w:r>
    </w:p>
    <w:p>
      <w:pPr>
        <w:pStyle w:val="ListBullet"/>
      </w:pPr>
      <w:r>
        <w:t>Universal Final Audit report after live verification.</w:t>
      </w:r>
    </w:p>
    <w:p>
      <w:pPr>
        <w:spacing w:before="200"/>
      </w:pPr>
      <w:r>
        <w:rPr>
          <w:b/>
        </w:rPr>
        <w:t xml:space="preserve">Final status after this document: </w:t>
      </w:r>
      <w:r>
        <w:t>Specification and portable control-plane code are substantially defined. The remaining work is the production-native, protected-infrastructure, deployment, installer, observability, resilience and audit layer described above. Once those gates pass, the repository can be treated as the production release candidate and assembled into the final ZIP.</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Bakko Armour LLC  •  BAPC VPN &amp; Digital Security™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BAPC VPN &amp; DIGITAL SECURITY™  |  FINAL PRODUCTION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