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BAPC VPN &amp; Digital Security™</w:t>
      </w:r>
    </w:p>
    <w:p>
      <w:pPr>
        <w:pStyle w:val="Subtitle"/>
      </w:pPr>
      <w:r>
        <w:t>Production Completion Addendum  |  Build-Ready Definition and Remaining Work</w:t>
      </w:r>
    </w:p>
    <w:tbl>
      <w:tblPr>
        <w:tblW w:type="auto" w:w="0"/>
        <w:tblLook w:firstColumn="1" w:firstRow="1" w:lastColumn="0" w:lastRow="0" w:noHBand="0" w:noVBand="1" w:val="04A0"/>
      </w:tblPr>
      <w:tblGrid>
        <w:gridCol w:w="10080"/>
      </w:tblGrid>
      <w:tr>
        <w:tc>
          <w:tcPr>
            <w:tcW w:type="dxa" w:w="10080"/>
            <w:shd w:fill="F5EDCE"/>
            <w:tcMar>
              <w:top w:w="70" w:type="dxa"/>
              <w:start w:w="100" w:type="dxa"/>
              <w:bottom w:w="70" w:type="dxa"/>
              <w:end w:w="100" w:type="dxa"/>
            </w:tcMar>
          </w:tcPr>
          <w:p>
            <w:pPr>
              <w:spacing w:after="0"/>
            </w:pPr>
            <w:r>
              <w:rPr>
                <w:rFonts w:ascii="Aptos" w:hAnsi="Aptos"/>
                <w:b/>
                <w:i w:val="0"/>
                <w:color w:val="71540D"/>
                <w:sz w:val="20"/>
              </w:rPr>
              <w:t xml:space="preserve">Correction of status: </w:t>
            </w:r>
            <w:r>
              <w:rPr>
                <w:rFonts w:ascii="Aptos" w:hAnsi="Aptos"/>
                <w:b w:val="0"/>
                <w:i w:val="0"/>
                <w:color w:val="1C2732"/>
                <w:sz w:val="20"/>
              </w:rPr>
              <w:t>The existing Version 0.2.0 repository is a tested control-plane foundation. It must not be represented as a finished production application until every requirement and acceptance gate in this addendum is satisfied.</w:t>
            </w:r>
          </w:p>
        </w:tc>
      </w:tr>
    </w:tbl>
    <w:p>
      <w:pPr>
        <w:pStyle w:val="Heading1"/>
      </w:pPr>
      <w:r>
        <w:t>Completion objective</w:t>
      </w:r>
    </w:p>
    <w:p>
      <w:r>
        <w:rPr>
          <w:rFonts w:ascii="Aptos" w:hAnsi="Aptos"/>
          <w:b/>
          <w:i w:val="0"/>
          <w:color w:val="1C2732"/>
          <w:sz w:val="22"/>
        </w:rPr>
        <w:t>Convert the tested foundation into an installable, secure, monitored, recoverable and independently verified multi-platform system implementing the approved eleven-engine architecture and supporting the 215-feature catalog.</w:t>
      </w:r>
    </w:p>
    <w:p>
      <w:pPr>
        <w:pStyle w:val="Heading1"/>
      </w:pPr>
      <w:r>
        <w:t>Mandatory workstreams and missing repository areas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504"/>
            <w:shd w:fill="DCE8ED"/>
            <w:tcMar>
              <w:top w:w="70" w:type="dxa"/>
              <w:start w:w="100" w:type="dxa"/>
              <w:bottom w:w="70" w:type="dxa"/>
              <w:end w:w="100" w:type="dxa"/>
            </w:tcMar>
            <w:vAlign w:val="center"/>
          </w:tcPr>
          <w:p>
            <w:r>
              <w:rPr>
                <w:rFonts w:ascii="Aptos" w:hAnsi="Aptos"/>
                <w:b/>
                <w:i w:val="0"/>
                <w:color w:val="123F52"/>
                <w:sz w:val="17"/>
              </w:rPr>
              <w:t>#</w:t>
            </w:r>
          </w:p>
        </w:tc>
        <w:tc>
          <w:tcPr>
            <w:tcW w:type="dxa" w:w="1800"/>
            <w:shd w:fill="DCE8ED"/>
            <w:tcMar>
              <w:top w:w="70" w:type="dxa"/>
              <w:start w:w="100" w:type="dxa"/>
              <w:bottom w:w="70" w:type="dxa"/>
              <w:end w:w="100" w:type="dxa"/>
            </w:tcMar>
            <w:vAlign w:val="center"/>
          </w:tcPr>
          <w:p>
            <w:r>
              <w:rPr>
                <w:rFonts w:ascii="Aptos" w:hAnsi="Aptos"/>
                <w:b/>
                <w:i w:val="0"/>
                <w:color w:val="123F52"/>
                <w:sz w:val="17"/>
              </w:rPr>
              <w:t>Workstream</w:t>
            </w:r>
          </w:p>
        </w:tc>
        <w:tc>
          <w:tcPr>
            <w:tcW w:type="dxa" w:w="4176"/>
            <w:shd w:fill="DCE8ED"/>
            <w:tcMar>
              <w:top w:w="70" w:type="dxa"/>
              <w:start w:w="100" w:type="dxa"/>
              <w:bottom w:w="70" w:type="dxa"/>
              <w:end w:w="100" w:type="dxa"/>
            </w:tcMar>
            <w:vAlign w:val="center"/>
          </w:tcPr>
          <w:p>
            <w:r>
              <w:rPr>
                <w:rFonts w:ascii="Aptos" w:hAnsi="Aptos"/>
                <w:b/>
                <w:i w:val="0"/>
                <w:color w:val="123F52"/>
                <w:sz w:val="17"/>
              </w:rPr>
              <w:t>Required completion</w:t>
            </w:r>
          </w:p>
        </w:tc>
        <w:tc>
          <w:tcPr>
            <w:tcW w:type="dxa" w:w="3672"/>
            <w:shd w:fill="DCE8ED"/>
            <w:tcMar>
              <w:top w:w="70" w:type="dxa"/>
              <w:start w:w="100" w:type="dxa"/>
              <w:bottom w:w="70" w:type="dxa"/>
              <w:end w:w="100" w:type="dxa"/>
            </w:tcMar>
            <w:vAlign w:val="center"/>
          </w:tcPr>
          <w:p>
            <w:r>
              <w:rPr>
                <w:rFonts w:ascii="Aptos" w:hAnsi="Aptos"/>
                <w:b/>
                <w:i w:val="0"/>
                <w:color w:val="123F52"/>
                <w:sz w:val="17"/>
              </w:rPr>
              <w:t>Expected repository areas</w:t>
            </w:r>
          </w:p>
        </w:tc>
      </w:tr>
      <w:tr>
        <w:tc>
          <w:tcPr>
            <w:tcW w:type="dxa" w:w="504"/>
            <w:tcMar>
              <w:top w:w="70" w:type="dxa"/>
              <w:start w:w="100" w:type="dxa"/>
              <w:bottom w:w="70" w:type="dxa"/>
              <w:end w:w="100" w:type="dxa"/>
            </w:tcMar>
            <w:vAlign w:val="top"/>
          </w:tcPr>
          <w:p>
            <w:r>
              <w:rPr>
                <w:rFonts w:ascii="Aptos" w:hAnsi="Aptos"/>
                <w:b w:val="0"/>
                <w:i w:val="0"/>
                <w:color w:val="1C2732"/>
                <w:sz w:val="16"/>
              </w:rPr>
              <w:t>1</w:t>
            </w:r>
          </w:p>
        </w:tc>
        <w:tc>
          <w:tcPr>
            <w:tcW w:type="dxa" w:w="1800"/>
            <w:tcMar>
              <w:top w:w="70" w:type="dxa"/>
              <w:start w:w="100" w:type="dxa"/>
              <w:bottom w:w="70" w:type="dxa"/>
              <w:end w:w="100" w:type="dxa"/>
            </w:tcMar>
            <w:vAlign w:val="top"/>
          </w:tcPr>
          <w:p>
            <w:r>
              <w:rPr>
                <w:rFonts w:ascii="Aptos" w:hAnsi="Aptos"/>
                <w:b/>
                <w:i w:val="0"/>
                <w:color w:val="1C2732"/>
                <w:sz w:val="16"/>
              </w:rPr>
              <w:t>Production Persistence</w:t>
            </w:r>
          </w:p>
        </w:tc>
        <w:tc>
          <w:tcPr>
            <w:tcW w:type="dxa" w:w="4176"/>
            <w:tcMar>
              <w:top w:w="70" w:type="dxa"/>
              <w:start w:w="100" w:type="dxa"/>
              <w:bottom w:w="70" w:type="dxa"/>
              <w:end w:w="100" w:type="dxa"/>
            </w:tcMar>
            <w:vAlign w:val="top"/>
          </w:tcPr>
          <w:p>
            <w:r>
              <w:rPr>
                <w:rFonts w:ascii="Aptos" w:hAnsi="Aptos"/>
                <w:b w:val="0"/>
                <w:i w:val="0"/>
                <w:color w:val="1C2732"/>
                <w:sz w:val="16"/>
              </w:rPr>
              <w:t>PostgreSQL repositories, migrations, transactional outbox, event partitions, retention, encrypted backups and tested restoration.</w:t>
            </w:r>
          </w:p>
        </w:tc>
        <w:tc>
          <w:tcPr>
            <w:tcW w:type="dxa" w:w="3672"/>
            <w:tcMar>
              <w:top w:w="70" w:type="dxa"/>
              <w:start w:w="100" w:type="dxa"/>
              <w:bottom w:w="70" w:type="dxa"/>
              <w:end w:w="100" w:type="dxa"/>
            </w:tcMar>
            <w:vAlign w:val="top"/>
          </w:tcPr>
          <w:p>
            <w:r>
              <w:rPr>
                <w:rFonts w:ascii="Consolas" w:hAnsi="Consolas"/>
                <w:b w:val="0"/>
                <w:i w:val="0"/>
                <w:color w:val="185B75"/>
                <w:sz w:val="15"/>
              </w:rPr>
              <w:t>src/infrastructure/postgres/*; db/003–010_*.sql; tests/integration/postgres/*</w:t>
            </w:r>
          </w:p>
        </w:tc>
      </w:tr>
      <w:tr>
        <w:tc>
          <w:tcPr>
            <w:tcW w:type="dxa" w:w="504"/>
            <w:tcMar>
              <w:top w:w="70" w:type="dxa"/>
              <w:start w:w="100" w:type="dxa"/>
              <w:bottom w:w="70" w:type="dxa"/>
              <w:end w:w="100" w:type="dxa"/>
            </w:tcMar>
            <w:vAlign w:val="top"/>
          </w:tcPr>
          <w:p>
            <w:r>
              <w:rPr>
                <w:rFonts w:ascii="Aptos" w:hAnsi="Aptos"/>
                <w:b w:val="0"/>
                <w:i w:val="0"/>
                <w:color w:val="1C2732"/>
                <w:sz w:val="16"/>
              </w:rPr>
              <w:t>2</w:t>
            </w:r>
          </w:p>
        </w:tc>
        <w:tc>
          <w:tcPr>
            <w:tcW w:type="dxa" w:w="1800"/>
            <w:tcMar>
              <w:top w:w="70" w:type="dxa"/>
              <w:start w:w="100" w:type="dxa"/>
              <w:bottom w:w="70" w:type="dxa"/>
              <w:end w:w="100" w:type="dxa"/>
            </w:tcMar>
            <w:vAlign w:val="top"/>
          </w:tcPr>
          <w:p>
            <w:r>
              <w:rPr>
                <w:rFonts w:ascii="Aptos" w:hAnsi="Aptos"/>
                <w:b/>
                <w:i w:val="0"/>
                <w:color w:val="1C2732"/>
                <w:sz w:val="16"/>
              </w:rPr>
              <w:t>Control-Plane APIs</w:t>
            </w:r>
          </w:p>
        </w:tc>
        <w:tc>
          <w:tcPr>
            <w:tcW w:type="dxa" w:w="4176"/>
            <w:tcMar>
              <w:top w:w="70" w:type="dxa"/>
              <w:start w:w="100" w:type="dxa"/>
              <w:bottom w:w="70" w:type="dxa"/>
              <w:end w:w="100" w:type="dxa"/>
            </w:tcMar>
            <w:vAlign w:val="top"/>
          </w:tcPr>
          <w:p>
            <w:r>
              <w:rPr>
                <w:rFonts w:ascii="Aptos" w:hAnsi="Aptos"/>
                <w:b w:val="0"/>
                <w:i w:val="0"/>
                <w:color w:val="1C2732"/>
                <w:sz w:val="16"/>
              </w:rPr>
              <w:t>Complete authenticated REST and gRPC services, validation, rate limits, idempotency, replay prevention, versioning and OpenAPI documentation.</w:t>
            </w:r>
          </w:p>
        </w:tc>
        <w:tc>
          <w:tcPr>
            <w:tcW w:type="dxa" w:w="3672"/>
            <w:tcMar>
              <w:top w:w="70" w:type="dxa"/>
              <w:start w:w="100" w:type="dxa"/>
              <w:bottom w:w="70" w:type="dxa"/>
              <w:end w:w="100" w:type="dxa"/>
            </w:tcMar>
            <w:vAlign w:val="top"/>
          </w:tcPr>
          <w:p>
            <w:r>
              <w:rPr>
                <w:rFonts w:ascii="Consolas" w:hAnsi="Consolas"/>
                <w:b w:val="0"/>
                <w:i w:val="0"/>
                <w:color w:val="185B75"/>
                <w:sz w:val="15"/>
              </w:rPr>
              <w:t>src/api/rest/*; src/api/grpc/*; openapi/security-control.yaml; tests/api/*</w:t>
            </w:r>
          </w:p>
        </w:tc>
      </w:tr>
      <w:tr>
        <w:tc>
          <w:tcPr>
            <w:tcW w:type="dxa" w:w="504"/>
            <w:tcMar>
              <w:top w:w="70" w:type="dxa"/>
              <w:start w:w="100" w:type="dxa"/>
              <w:bottom w:w="70" w:type="dxa"/>
              <w:end w:w="100" w:type="dxa"/>
            </w:tcMar>
            <w:vAlign w:val="top"/>
          </w:tcPr>
          <w:p>
            <w:r>
              <w:rPr>
                <w:rFonts w:ascii="Aptos" w:hAnsi="Aptos"/>
                <w:b w:val="0"/>
                <w:i w:val="0"/>
                <w:color w:val="1C2732"/>
                <w:sz w:val="16"/>
              </w:rPr>
              <w:t>3</w:t>
            </w:r>
          </w:p>
        </w:tc>
        <w:tc>
          <w:tcPr>
            <w:tcW w:type="dxa" w:w="1800"/>
            <w:tcMar>
              <w:top w:w="70" w:type="dxa"/>
              <w:start w:w="100" w:type="dxa"/>
              <w:bottom w:w="70" w:type="dxa"/>
              <w:end w:w="100" w:type="dxa"/>
            </w:tcMar>
            <w:vAlign w:val="top"/>
          </w:tcPr>
          <w:p>
            <w:r>
              <w:rPr>
                <w:rFonts w:ascii="Aptos" w:hAnsi="Aptos"/>
                <w:b/>
                <w:i w:val="0"/>
                <w:color w:val="1C2732"/>
                <w:sz w:val="16"/>
              </w:rPr>
              <w:t>Trust Core</w:t>
            </w:r>
          </w:p>
        </w:tc>
        <w:tc>
          <w:tcPr>
            <w:tcW w:type="dxa" w:w="4176"/>
            <w:tcMar>
              <w:top w:w="70" w:type="dxa"/>
              <w:start w:w="100" w:type="dxa"/>
              <w:bottom w:w="70" w:type="dxa"/>
              <w:end w:w="100" w:type="dxa"/>
            </w:tcMar>
            <w:vAlign w:val="top"/>
          </w:tcPr>
          <w:p>
            <w:r>
              <w:rPr>
                <w:rFonts w:ascii="Aptos" w:hAnsi="Aptos"/>
                <w:b w:val="0"/>
                <w:i w:val="0"/>
                <w:color w:val="1C2732"/>
                <w:sz w:val="16"/>
              </w:rPr>
              <w:t>Offline root ceremony, HSM/KMS intermediate issuer, ACME/EST enrollment, short-lived mTLS, revocation, rotation and audit.</w:t>
            </w:r>
          </w:p>
        </w:tc>
        <w:tc>
          <w:tcPr>
            <w:tcW w:type="dxa" w:w="3672"/>
            <w:tcMar>
              <w:top w:w="70" w:type="dxa"/>
              <w:start w:w="100" w:type="dxa"/>
              <w:bottom w:w="70" w:type="dxa"/>
              <w:end w:w="100" w:type="dxa"/>
            </w:tcMar>
            <w:vAlign w:val="top"/>
          </w:tcPr>
          <w:p>
            <w:r>
              <w:rPr>
                <w:rFonts w:ascii="Consolas" w:hAnsi="Consolas"/>
                <w:b w:val="0"/>
                <w:i w:val="0"/>
                <w:color w:val="185B75"/>
                <w:sz w:val="15"/>
              </w:rPr>
              <w:t>services/trust-core/*; deploy/hsm/*; runbooks/root-ca-ceremony.md</w:t>
            </w:r>
          </w:p>
        </w:tc>
      </w:tr>
      <w:tr>
        <w:tc>
          <w:tcPr>
            <w:tcW w:type="dxa" w:w="504"/>
            <w:tcMar>
              <w:top w:w="70" w:type="dxa"/>
              <w:start w:w="100" w:type="dxa"/>
              <w:bottom w:w="70" w:type="dxa"/>
              <w:end w:w="100" w:type="dxa"/>
            </w:tcMar>
            <w:vAlign w:val="top"/>
          </w:tcPr>
          <w:p>
            <w:r>
              <w:rPr>
                <w:rFonts w:ascii="Aptos" w:hAnsi="Aptos"/>
                <w:b w:val="0"/>
                <w:i w:val="0"/>
                <w:color w:val="1C2732"/>
                <w:sz w:val="16"/>
              </w:rPr>
              <w:t>4</w:t>
            </w:r>
          </w:p>
        </w:tc>
        <w:tc>
          <w:tcPr>
            <w:tcW w:type="dxa" w:w="1800"/>
            <w:tcMar>
              <w:top w:w="70" w:type="dxa"/>
              <w:start w:w="100" w:type="dxa"/>
              <w:bottom w:w="70" w:type="dxa"/>
              <w:end w:w="100" w:type="dxa"/>
            </w:tcMar>
            <w:vAlign w:val="top"/>
          </w:tcPr>
          <w:p>
            <w:r>
              <w:rPr>
                <w:rFonts w:ascii="Aptos" w:hAnsi="Aptos"/>
                <w:b/>
                <w:i w:val="0"/>
                <w:color w:val="1C2732"/>
                <w:sz w:val="16"/>
              </w:rPr>
              <w:t>WireGuard Mesh</w:t>
            </w:r>
          </w:p>
        </w:tc>
        <w:tc>
          <w:tcPr>
            <w:tcW w:type="dxa" w:w="4176"/>
            <w:tcMar>
              <w:top w:w="70" w:type="dxa"/>
              <w:start w:w="100" w:type="dxa"/>
              <w:bottom w:w="70" w:type="dxa"/>
              <w:end w:w="100" w:type="dxa"/>
            </w:tcMar>
            <w:vAlign w:val="top"/>
          </w:tcPr>
          <w:p>
            <w:r>
              <w:rPr>
                <w:rFonts w:ascii="Aptos" w:hAnsi="Aptos"/>
                <w:b w:val="0"/>
                <w:i w:val="0"/>
                <w:color w:val="1C2732"/>
                <w:sz w:val="16"/>
              </w:rPr>
              <w:t>Address allocation, peer orchestration, NAT traversal, direct paths, relay fallback, split tunnel, hostile-network mode and kill switch.</w:t>
            </w:r>
          </w:p>
        </w:tc>
        <w:tc>
          <w:tcPr>
            <w:tcW w:type="dxa" w:w="3672"/>
            <w:tcMar>
              <w:top w:w="70" w:type="dxa"/>
              <w:start w:w="100" w:type="dxa"/>
              <w:bottom w:w="70" w:type="dxa"/>
              <w:end w:w="100" w:type="dxa"/>
            </w:tcMar>
            <w:vAlign w:val="top"/>
          </w:tcPr>
          <w:p>
            <w:r>
              <w:rPr>
                <w:rFonts w:ascii="Consolas" w:hAnsi="Consolas"/>
                <w:b w:val="0"/>
                <w:i w:val="0"/>
                <w:color w:val="185B75"/>
                <w:sz w:val="15"/>
              </w:rPr>
              <w:t>services/mesh-controller/*; native/linux/wireguard/*; tests/network/mesh/*</w:t>
            </w:r>
          </w:p>
        </w:tc>
      </w:tr>
      <w:tr>
        <w:tc>
          <w:tcPr>
            <w:tcW w:type="dxa" w:w="504"/>
            <w:tcMar>
              <w:top w:w="70" w:type="dxa"/>
              <w:start w:w="100" w:type="dxa"/>
              <w:bottom w:w="70" w:type="dxa"/>
              <w:end w:w="100" w:type="dxa"/>
            </w:tcMar>
            <w:vAlign w:val="top"/>
          </w:tcPr>
          <w:p>
            <w:r>
              <w:rPr>
                <w:rFonts w:ascii="Aptos" w:hAnsi="Aptos"/>
                <w:b w:val="0"/>
                <w:i w:val="0"/>
                <w:color w:val="1C2732"/>
                <w:sz w:val="16"/>
              </w:rPr>
              <w:t>5</w:t>
            </w:r>
          </w:p>
        </w:tc>
        <w:tc>
          <w:tcPr>
            <w:tcW w:type="dxa" w:w="1800"/>
            <w:tcMar>
              <w:top w:w="70" w:type="dxa"/>
              <w:start w:w="100" w:type="dxa"/>
              <w:bottom w:w="70" w:type="dxa"/>
              <w:end w:w="100" w:type="dxa"/>
            </w:tcMar>
            <w:vAlign w:val="top"/>
          </w:tcPr>
          <w:p>
            <w:r>
              <w:rPr>
                <w:rFonts w:ascii="Aptos" w:hAnsi="Aptos"/>
                <w:b/>
                <w:i w:val="0"/>
                <w:color w:val="1C2732"/>
                <w:sz w:val="16"/>
              </w:rPr>
              <w:t>Endpoint Agents</w:t>
            </w:r>
          </w:p>
        </w:tc>
        <w:tc>
          <w:tcPr>
            <w:tcW w:type="dxa" w:w="4176"/>
            <w:tcMar>
              <w:top w:w="70" w:type="dxa"/>
              <w:start w:w="100" w:type="dxa"/>
              <w:bottom w:w="70" w:type="dxa"/>
              <w:end w:w="100" w:type="dxa"/>
            </w:tcMar>
            <w:vAlign w:val="top"/>
          </w:tcPr>
          <w:p>
            <w:r>
              <w:rPr>
                <w:rFonts w:ascii="Aptos" w:hAnsi="Aptos"/>
                <w:b w:val="0"/>
                <w:i w:val="0"/>
                <w:color w:val="1C2732"/>
                <w:sz w:val="16"/>
              </w:rPr>
              <w:t>Hardened Linux/Windows/macOS agents and constrained iOS/iPadOS NetworkExtension client, installers, upgrades and recovery.</w:t>
            </w:r>
          </w:p>
        </w:tc>
        <w:tc>
          <w:tcPr>
            <w:tcW w:type="dxa" w:w="3672"/>
            <w:tcMar>
              <w:top w:w="70" w:type="dxa"/>
              <w:start w:w="100" w:type="dxa"/>
              <w:bottom w:w="70" w:type="dxa"/>
              <w:end w:w="100" w:type="dxa"/>
            </w:tcMar>
            <w:vAlign w:val="top"/>
          </w:tcPr>
          <w:p>
            <w:r>
              <w:rPr>
                <w:rFonts w:ascii="Consolas" w:hAnsi="Consolas"/>
                <w:b w:val="0"/>
                <w:i w:val="0"/>
                <w:color w:val="185B75"/>
                <w:sz w:val="15"/>
              </w:rPr>
              <w:t>agents/linux/*; agents/windows/*; agents/apple/*; installers/*</w:t>
            </w:r>
          </w:p>
        </w:tc>
      </w:tr>
      <w:tr>
        <w:tc>
          <w:tcPr>
            <w:tcW w:type="dxa" w:w="504"/>
            <w:tcMar>
              <w:top w:w="70" w:type="dxa"/>
              <w:start w:w="100" w:type="dxa"/>
              <w:bottom w:w="70" w:type="dxa"/>
              <w:end w:w="100" w:type="dxa"/>
            </w:tcMar>
            <w:vAlign w:val="top"/>
          </w:tcPr>
          <w:p>
            <w:r>
              <w:rPr>
                <w:rFonts w:ascii="Aptos" w:hAnsi="Aptos"/>
                <w:b w:val="0"/>
                <w:i w:val="0"/>
                <w:color w:val="1C2732"/>
                <w:sz w:val="16"/>
              </w:rPr>
              <w:t>6</w:t>
            </w:r>
          </w:p>
        </w:tc>
        <w:tc>
          <w:tcPr>
            <w:tcW w:type="dxa" w:w="1800"/>
            <w:tcMar>
              <w:top w:w="70" w:type="dxa"/>
              <w:start w:w="100" w:type="dxa"/>
              <w:bottom w:w="70" w:type="dxa"/>
              <w:end w:w="100" w:type="dxa"/>
            </w:tcMar>
            <w:vAlign w:val="top"/>
          </w:tcPr>
          <w:p>
            <w:r>
              <w:rPr>
                <w:rFonts w:ascii="Aptos" w:hAnsi="Aptos"/>
                <w:b/>
                <w:i w:val="0"/>
                <w:color w:val="1C2732"/>
                <w:sz w:val="16"/>
              </w:rPr>
              <w:t>Firewall Enforcement</w:t>
            </w:r>
          </w:p>
        </w:tc>
        <w:tc>
          <w:tcPr>
            <w:tcW w:type="dxa" w:w="4176"/>
            <w:tcMar>
              <w:top w:w="70" w:type="dxa"/>
              <w:start w:w="100" w:type="dxa"/>
              <w:bottom w:w="70" w:type="dxa"/>
              <w:end w:w="100" w:type="dxa"/>
            </w:tcMar>
            <w:vAlign w:val="top"/>
          </w:tcPr>
          <w:p>
            <w:r>
              <w:rPr>
                <w:rFonts w:ascii="Aptos" w:hAnsi="Aptos"/>
                <w:b w:val="0"/>
                <w:i w:val="0"/>
                <w:color w:val="1C2732"/>
                <w:sz w:val="16"/>
              </w:rPr>
              <w:t>Linux eBPF/nftables, Windows WFP, Apple permitted controls, container/workload enforcement and policy conformance tests.</w:t>
            </w:r>
          </w:p>
        </w:tc>
        <w:tc>
          <w:tcPr>
            <w:tcW w:type="dxa" w:w="3672"/>
            <w:tcMar>
              <w:top w:w="70" w:type="dxa"/>
              <w:start w:w="100" w:type="dxa"/>
              <w:bottom w:w="70" w:type="dxa"/>
              <w:end w:w="100" w:type="dxa"/>
            </w:tcMar>
            <w:vAlign w:val="top"/>
          </w:tcPr>
          <w:p>
            <w:r>
              <w:rPr>
                <w:rFonts w:ascii="Consolas" w:hAnsi="Consolas"/>
                <w:b w:val="0"/>
                <w:i w:val="0"/>
                <w:color w:val="185B75"/>
                <w:sz w:val="15"/>
              </w:rPr>
              <w:t>native/linux/policy/*; native/windows/wfp/*; native/apple/policy/*</w:t>
            </w:r>
          </w:p>
        </w:tc>
      </w:tr>
      <w:tr>
        <w:tc>
          <w:tcPr>
            <w:tcW w:type="dxa" w:w="504"/>
            <w:tcMar>
              <w:top w:w="70" w:type="dxa"/>
              <w:start w:w="100" w:type="dxa"/>
              <w:bottom w:w="70" w:type="dxa"/>
              <w:end w:w="100" w:type="dxa"/>
            </w:tcMar>
            <w:vAlign w:val="top"/>
          </w:tcPr>
          <w:p>
            <w:r>
              <w:rPr>
                <w:rFonts w:ascii="Aptos" w:hAnsi="Aptos"/>
                <w:b w:val="0"/>
                <w:i w:val="0"/>
                <w:color w:val="1C2732"/>
                <w:sz w:val="16"/>
              </w:rPr>
              <w:t>7</w:t>
            </w:r>
          </w:p>
        </w:tc>
        <w:tc>
          <w:tcPr>
            <w:tcW w:type="dxa" w:w="1800"/>
            <w:tcMar>
              <w:top w:w="70" w:type="dxa"/>
              <w:start w:w="100" w:type="dxa"/>
              <w:bottom w:w="70" w:type="dxa"/>
              <w:end w:w="100" w:type="dxa"/>
            </w:tcMar>
            <w:vAlign w:val="top"/>
          </w:tcPr>
          <w:p>
            <w:r>
              <w:rPr>
                <w:rFonts w:ascii="Aptos" w:hAnsi="Aptos"/>
                <w:b/>
                <w:i w:val="0"/>
                <w:color w:val="1C2732"/>
                <w:sz w:val="16"/>
              </w:rPr>
              <w:t>Secure DNS</w:t>
            </w:r>
          </w:p>
        </w:tc>
        <w:tc>
          <w:tcPr>
            <w:tcW w:type="dxa" w:w="4176"/>
            <w:tcMar>
              <w:top w:w="70" w:type="dxa"/>
              <w:start w:w="100" w:type="dxa"/>
              <w:bottom w:w="70" w:type="dxa"/>
              <w:end w:w="100" w:type="dxa"/>
            </w:tcMar>
            <w:vAlign w:val="top"/>
          </w:tcPr>
          <w:p>
            <w:r>
              <w:rPr>
                <w:rFonts w:ascii="Aptos" w:hAnsi="Aptos"/>
                <w:b w:val="0"/>
                <w:i w:val="0"/>
                <w:color w:val="1C2732"/>
                <w:sz w:val="16"/>
              </w:rPr>
              <w:t>CoreDNS-compatible service, internal discovery, DoH/DoT, threat feeds, DGA analysis, sinkhole and host-resolver integration.</w:t>
            </w:r>
          </w:p>
        </w:tc>
        <w:tc>
          <w:tcPr>
            <w:tcW w:type="dxa" w:w="3672"/>
            <w:tcMar>
              <w:top w:w="70" w:type="dxa"/>
              <w:start w:w="100" w:type="dxa"/>
              <w:bottom w:w="70" w:type="dxa"/>
              <w:end w:w="100" w:type="dxa"/>
            </w:tcMar>
            <w:vAlign w:val="top"/>
          </w:tcPr>
          <w:p>
            <w:r>
              <w:rPr>
                <w:rFonts w:ascii="Consolas" w:hAnsi="Consolas"/>
                <w:b w:val="0"/>
                <w:i w:val="0"/>
                <w:color w:val="185B75"/>
                <w:sz w:val="15"/>
              </w:rPr>
              <w:t>services/dns/*; plugins/coredns-bapc/*; tests/dns/*</w:t>
            </w:r>
          </w:p>
        </w:tc>
      </w:tr>
      <w:tr>
        <w:tc>
          <w:tcPr>
            <w:tcW w:type="dxa" w:w="504"/>
            <w:tcMar>
              <w:top w:w="70" w:type="dxa"/>
              <w:start w:w="100" w:type="dxa"/>
              <w:bottom w:w="70" w:type="dxa"/>
              <w:end w:w="100" w:type="dxa"/>
            </w:tcMar>
            <w:vAlign w:val="top"/>
          </w:tcPr>
          <w:p>
            <w:r>
              <w:rPr>
                <w:rFonts w:ascii="Aptos" w:hAnsi="Aptos"/>
                <w:b w:val="0"/>
                <w:i w:val="0"/>
                <w:color w:val="1C2732"/>
                <w:sz w:val="16"/>
              </w:rPr>
              <w:t>8</w:t>
            </w:r>
          </w:p>
        </w:tc>
        <w:tc>
          <w:tcPr>
            <w:tcW w:type="dxa" w:w="1800"/>
            <w:tcMar>
              <w:top w:w="70" w:type="dxa"/>
              <w:start w:w="100" w:type="dxa"/>
              <w:bottom w:w="70" w:type="dxa"/>
              <w:end w:w="100" w:type="dxa"/>
            </w:tcMar>
            <w:vAlign w:val="top"/>
          </w:tcPr>
          <w:p>
            <w:r>
              <w:rPr>
                <w:rFonts w:ascii="Aptos" w:hAnsi="Aptos"/>
                <w:b/>
                <w:i w:val="0"/>
                <w:color w:val="1C2732"/>
                <w:sz w:val="16"/>
              </w:rPr>
              <w:t>Relays and Egress</w:t>
            </w:r>
          </w:p>
        </w:tc>
        <w:tc>
          <w:tcPr>
            <w:tcW w:type="dxa" w:w="4176"/>
            <w:tcMar>
              <w:top w:w="70" w:type="dxa"/>
              <w:start w:w="100" w:type="dxa"/>
              <w:bottom w:w="70" w:type="dxa"/>
              <w:end w:w="100" w:type="dxa"/>
            </w:tcMar>
            <w:vAlign w:val="top"/>
          </w:tcPr>
          <w:p>
            <w:r>
              <w:rPr>
                <w:rFonts w:ascii="Aptos" w:hAnsi="Aptos"/>
                <w:b w:val="0"/>
                <w:i w:val="0"/>
                <w:color w:val="1C2732"/>
                <w:sz w:val="16"/>
              </w:rPr>
              <w:t>Multi-region blind relays, fixed-IP egress, health/capacity management, abuse controls, failover and regional deployment.</w:t>
            </w:r>
          </w:p>
        </w:tc>
        <w:tc>
          <w:tcPr>
            <w:tcW w:type="dxa" w:w="3672"/>
            <w:tcMar>
              <w:top w:w="70" w:type="dxa"/>
              <w:start w:w="100" w:type="dxa"/>
              <w:bottom w:w="70" w:type="dxa"/>
              <w:end w:w="100" w:type="dxa"/>
            </w:tcMar>
            <w:vAlign w:val="top"/>
          </w:tcPr>
          <w:p>
            <w:r>
              <w:rPr>
                <w:rFonts w:ascii="Consolas" w:hAnsi="Consolas"/>
                <w:b w:val="0"/>
                <w:i w:val="0"/>
                <w:color w:val="185B75"/>
                <w:sz w:val="15"/>
              </w:rPr>
              <w:t>services/relay/*; services/egress/*; deploy/regions/*</w:t>
            </w:r>
          </w:p>
        </w:tc>
      </w:tr>
      <w:tr>
        <w:tc>
          <w:tcPr>
            <w:tcW w:type="dxa" w:w="504"/>
            <w:tcMar>
              <w:top w:w="70" w:type="dxa"/>
              <w:start w:w="100" w:type="dxa"/>
              <w:bottom w:w="70" w:type="dxa"/>
              <w:end w:w="100" w:type="dxa"/>
            </w:tcMar>
            <w:vAlign w:val="top"/>
          </w:tcPr>
          <w:p>
            <w:r>
              <w:rPr>
                <w:rFonts w:ascii="Aptos" w:hAnsi="Aptos"/>
                <w:b w:val="0"/>
                <w:i w:val="0"/>
                <w:color w:val="1C2732"/>
                <w:sz w:val="16"/>
              </w:rPr>
              <w:t>9</w:t>
            </w:r>
          </w:p>
        </w:tc>
        <w:tc>
          <w:tcPr>
            <w:tcW w:type="dxa" w:w="1800"/>
            <w:tcMar>
              <w:top w:w="70" w:type="dxa"/>
              <w:start w:w="100" w:type="dxa"/>
              <w:bottom w:w="70" w:type="dxa"/>
              <w:end w:w="100" w:type="dxa"/>
            </w:tcMar>
            <w:vAlign w:val="top"/>
          </w:tcPr>
          <w:p>
            <w:r>
              <w:rPr>
                <w:rFonts w:ascii="Aptos" w:hAnsi="Aptos"/>
                <w:b/>
                <w:i w:val="0"/>
                <w:color w:val="1C2732"/>
                <w:sz w:val="16"/>
              </w:rPr>
              <w:t>Out-of-Band Recovery</w:t>
            </w:r>
          </w:p>
        </w:tc>
        <w:tc>
          <w:tcPr>
            <w:tcW w:type="dxa" w:w="4176"/>
            <w:tcMar>
              <w:top w:w="70" w:type="dxa"/>
              <w:start w:w="100" w:type="dxa"/>
              <w:bottom w:w="70" w:type="dxa"/>
              <w:end w:w="100" w:type="dxa"/>
            </w:tcMar>
            <w:vAlign w:val="top"/>
          </w:tcPr>
          <w:p>
            <w:r>
              <w:rPr>
                <w:rFonts w:ascii="Aptos" w:hAnsi="Aptos"/>
                <w:b w:val="0"/>
                <w:i w:val="0"/>
                <w:color w:val="1C2732"/>
                <w:sz w:val="16"/>
              </w:rPr>
              <w:t>Operationally independent endpoints, credentials, routes and policy; heartbeat, last-known-good state and rollback verification.</w:t>
            </w:r>
          </w:p>
        </w:tc>
        <w:tc>
          <w:tcPr>
            <w:tcW w:type="dxa" w:w="3672"/>
            <w:tcMar>
              <w:top w:w="70" w:type="dxa"/>
              <w:start w:w="100" w:type="dxa"/>
              <w:bottom w:w="70" w:type="dxa"/>
              <w:end w:w="100" w:type="dxa"/>
            </w:tcMar>
            <w:vAlign w:val="top"/>
          </w:tcPr>
          <w:p>
            <w:r>
              <w:rPr>
                <w:rFonts w:ascii="Consolas" w:hAnsi="Consolas"/>
                <w:b w:val="0"/>
                <w:i w:val="0"/>
                <w:color w:val="185B75"/>
                <w:sz w:val="15"/>
              </w:rPr>
              <w:t>services/oob-controller/*; agents/shared/oob/*; tests/resilience/*</w:t>
            </w:r>
          </w:p>
        </w:tc>
      </w:tr>
      <w:tr>
        <w:tc>
          <w:tcPr>
            <w:tcW w:type="dxa" w:w="504"/>
            <w:tcMar>
              <w:top w:w="70" w:type="dxa"/>
              <w:start w:w="100" w:type="dxa"/>
              <w:bottom w:w="70" w:type="dxa"/>
              <w:end w:w="100" w:type="dxa"/>
            </w:tcMar>
            <w:vAlign w:val="top"/>
          </w:tcPr>
          <w:p>
            <w:r>
              <w:rPr>
                <w:rFonts w:ascii="Aptos" w:hAnsi="Aptos"/>
                <w:b w:val="0"/>
                <w:i w:val="0"/>
                <w:color w:val="1C2732"/>
                <w:sz w:val="16"/>
              </w:rPr>
              <w:t>10</w:t>
            </w:r>
          </w:p>
        </w:tc>
        <w:tc>
          <w:tcPr>
            <w:tcW w:type="dxa" w:w="1800"/>
            <w:tcMar>
              <w:top w:w="70" w:type="dxa"/>
              <w:start w:w="100" w:type="dxa"/>
              <w:bottom w:w="70" w:type="dxa"/>
              <w:end w:w="100" w:type="dxa"/>
            </w:tcMar>
            <w:vAlign w:val="top"/>
          </w:tcPr>
          <w:p>
            <w:r>
              <w:rPr>
                <w:rFonts w:ascii="Aptos" w:hAnsi="Aptos"/>
                <w:b/>
                <w:i w:val="0"/>
                <w:color w:val="1C2732"/>
                <w:sz w:val="16"/>
              </w:rPr>
              <w:t>Threat Response</w:t>
            </w:r>
          </w:p>
        </w:tc>
        <w:tc>
          <w:tcPr>
            <w:tcW w:type="dxa" w:w="4176"/>
            <w:tcMar>
              <w:top w:w="70" w:type="dxa"/>
              <w:start w:w="100" w:type="dxa"/>
              <w:bottom w:w="70" w:type="dxa"/>
              <w:end w:w="100" w:type="dxa"/>
            </w:tcMar>
            <w:vAlign w:val="top"/>
          </w:tcPr>
          <w:p>
            <w:r>
              <w:rPr>
                <w:rFonts w:ascii="Aptos" w:hAnsi="Aptos"/>
                <w:b w:val="0"/>
                <w:i w:val="0"/>
                <w:color w:val="1C2732"/>
                <w:sz w:val="16"/>
              </w:rPr>
              <w:t>Rules, correlation, severity scoring, credential revocation, quarantine, forensic isolation, restoration and false-positive handling.</w:t>
            </w:r>
          </w:p>
        </w:tc>
        <w:tc>
          <w:tcPr>
            <w:tcW w:type="dxa" w:w="3672"/>
            <w:tcMar>
              <w:top w:w="70" w:type="dxa"/>
              <w:start w:w="100" w:type="dxa"/>
              <w:bottom w:w="70" w:type="dxa"/>
              <w:end w:w="100" w:type="dxa"/>
            </w:tcMar>
            <w:vAlign w:val="top"/>
          </w:tcPr>
          <w:p>
            <w:r>
              <w:rPr>
                <w:rFonts w:ascii="Consolas" w:hAnsi="Consolas"/>
                <w:b w:val="0"/>
                <w:i w:val="0"/>
                <w:color w:val="185B75"/>
                <w:sz w:val="15"/>
              </w:rPr>
              <w:t>services/threat-engine/*; policies/threat/*; tests/security/containment/*</w:t>
            </w:r>
          </w:p>
        </w:tc>
      </w:tr>
      <w:tr>
        <w:tc>
          <w:tcPr>
            <w:tcW w:type="dxa" w:w="504"/>
            <w:tcMar>
              <w:top w:w="70" w:type="dxa"/>
              <w:start w:w="100" w:type="dxa"/>
              <w:bottom w:w="70" w:type="dxa"/>
              <w:end w:w="100" w:type="dxa"/>
            </w:tcMar>
            <w:vAlign w:val="top"/>
          </w:tcPr>
          <w:p>
            <w:r>
              <w:rPr>
                <w:rFonts w:ascii="Aptos" w:hAnsi="Aptos"/>
                <w:b w:val="0"/>
                <w:i w:val="0"/>
                <w:color w:val="1C2732"/>
                <w:sz w:val="16"/>
              </w:rPr>
              <w:t>11</w:t>
            </w:r>
          </w:p>
        </w:tc>
        <w:tc>
          <w:tcPr>
            <w:tcW w:type="dxa" w:w="1800"/>
            <w:tcMar>
              <w:top w:w="70" w:type="dxa"/>
              <w:start w:w="100" w:type="dxa"/>
              <w:bottom w:w="70" w:type="dxa"/>
              <w:end w:w="100" w:type="dxa"/>
            </w:tcMar>
            <w:vAlign w:val="top"/>
          </w:tcPr>
          <w:p>
            <w:r>
              <w:rPr>
                <w:rFonts w:ascii="Aptos" w:hAnsi="Aptos"/>
                <w:b/>
                <w:i w:val="0"/>
                <w:color w:val="1C2732"/>
                <w:sz w:val="16"/>
              </w:rPr>
              <w:t>SOC and Owner Controls</w:t>
            </w:r>
          </w:p>
        </w:tc>
        <w:tc>
          <w:tcPr>
            <w:tcW w:type="dxa" w:w="4176"/>
            <w:tcMar>
              <w:top w:w="70" w:type="dxa"/>
              <w:start w:w="100" w:type="dxa"/>
              <w:bottom w:w="70" w:type="dxa"/>
              <w:end w:w="100" w:type="dxa"/>
            </w:tcMar>
            <w:vAlign w:val="top"/>
          </w:tcPr>
          <w:p>
            <w:r>
              <w:rPr>
                <w:rFonts w:ascii="Aptos" w:hAnsi="Aptos"/>
                <w:b w:val="0"/>
                <w:i w:val="0"/>
                <w:color w:val="1C2732"/>
                <w:sz w:val="16"/>
              </w:rPr>
              <w:t>Real-time topology, incidents, policies, JIT, certificates, agents, relays, quarantine and confirmed emergency controls.</w:t>
            </w:r>
          </w:p>
        </w:tc>
        <w:tc>
          <w:tcPr>
            <w:tcW w:type="dxa" w:w="3672"/>
            <w:tcMar>
              <w:top w:w="70" w:type="dxa"/>
              <w:start w:w="100" w:type="dxa"/>
              <w:bottom w:w="70" w:type="dxa"/>
              <w:end w:w="100" w:type="dxa"/>
            </w:tcMar>
            <w:vAlign w:val="top"/>
          </w:tcPr>
          <w:p>
            <w:r>
              <w:rPr>
                <w:rFonts w:ascii="Consolas" w:hAnsi="Consolas"/>
                <w:b w:val="0"/>
                <w:i w:val="0"/>
                <w:color w:val="185B75"/>
                <w:sz w:val="15"/>
              </w:rPr>
              <w:t>apps/security-soc/*; packages/topology/*; tests/e2e/soc/*</w:t>
            </w:r>
          </w:p>
        </w:tc>
      </w:tr>
      <w:tr>
        <w:tc>
          <w:tcPr>
            <w:tcW w:type="dxa" w:w="504"/>
            <w:tcMar>
              <w:top w:w="70" w:type="dxa"/>
              <w:start w:w="100" w:type="dxa"/>
              <w:bottom w:w="70" w:type="dxa"/>
              <w:end w:w="100" w:type="dxa"/>
            </w:tcMar>
            <w:vAlign w:val="top"/>
          </w:tcPr>
          <w:p>
            <w:r>
              <w:rPr>
                <w:rFonts w:ascii="Aptos" w:hAnsi="Aptos"/>
                <w:b w:val="0"/>
                <w:i w:val="0"/>
                <w:color w:val="1C2732"/>
                <w:sz w:val="16"/>
              </w:rPr>
              <w:t>12</w:t>
            </w:r>
          </w:p>
        </w:tc>
        <w:tc>
          <w:tcPr>
            <w:tcW w:type="dxa" w:w="1800"/>
            <w:tcMar>
              <w:top w:w="70" w:type="dxa"/>
              <w:start w:w="100" w:type="dxa"/>
              <w:bottom w:w="70" w:type="dxa"/>
              <w:end w:w="100" w:type="dxa"/>
            </w:tcMar>
            <w:vAlign w:val="top"/>
          </w:tcPr>
          <w:p>
            <w:r>
              <w:rPr>
                <w:rFonts w:ascii="Aptos" w:hAnsi="Aptos"/>
                <w:b/>
                <w:i w:val="0"/>
                <w:color w:val="1C2732"/>
                <w:sz w:val="16"/>
              </w:rPr>
              <w:t>BAPC Integrations</w:t>
            </w:r>
          </w:p>
        </w:tc>
        <w:tc>
          <w:tcPr>
            <w:tcW w:type="dxa" w:w="4176"/>
            <w:tcMar>
              <w:top w:w="70" w:type="dxa"/>
              <w:start w:w="100" w:type="dxa"/>
              <w:bottom w:w="70" w:type="dxa"/>
              <w:end w:w="100" w:type="dxa"/>
            </w:tcMar>
            <w:vAlign w:val="top"/>
          </w:tcPr>
          <w:p>
            <w:r>
              <w:rPr>
                <w:rFonts w:ascii="Aptos" w:hAnsi="Aptos"/>
                <w:b w:val="0"/>
                <w:i w:val="0"/>
                <w:color w:val="1C2732"/>
                <w:sz w:val="16"/>
              </w:rPr>
              <w:t>Signed, retried integrations with Diagnostics™, Cloud &amp; Deployment™, Integration™ and Headquarters™.</w:t>
            </w:r>
          </w:p>
        </w:tc>
        <w:tc>
          <w:tcPr>
            <w:tcW w:type="dxa" w:w="3672"/>
            <w:tcMar>
              <w:top w:w="70" w:type="dxa"/>
              <w:start w:w="100" w:type="dxa"/>
              <w:bottom w:w="70" w:type="dxa"/>
              <w:end w:w="100" w:type="dxa"/>
            </w:tcMar>
            <w:vAlign w:val="top"/>
          </w:tcPr>
          <w:p>
            <w:r>
              <w:rPr>
                <w:rFonts w:ascii="Consolas" w:hAnsi="Consolas"/>
                <w:b w:val="0"/>
                <w:i w:val="0"/>
                <w:color w:val="185B75"/>
                <w:sz w:val="15"/>
              </w:rPr>
              <w:t>integrations/diagnostics/*; integrations/cloud-deployment/*; integrations/integration-gateway/*; integrations/headquarters/*</w:t>
            </w:r>
          </w:p>
        </w:tc>
      </w:tr>
      <w:tr>
        <w:tc>
          <w:tcPr>
            <w:tcW w:type="dxa" w:w="504"/>
            <w:tcMar>
              <w:top w:w="70" w:type="dxa"/>
              <w:start w:w="100" w:type="dxa"/>
              <w:bottom w:w="70" w:type="dxa"/>
              <w:end w:w="100" w:type="dxa"/>
            </w:tcMar>
            <w:vAlign w:val="top"/>
          </w:tcPr>
          <w:p>
            <w:r>
              <w:rPr>
                <w:rFonts w:ascii="Aptos" w:hAnsi="Aptos"/>
                <w:b w:val="0"/>
                <w:i w:val="0"/>
                <w:color w:val="1C2732"/>
                <w:sz w:val="16"/>
              </w:rPr>
              <w:t>13</w:t>
            </w:r>
          </w:p>
        </w:tc>
        <w:tc>
          <w:tcPr>
            <w:tcW w:type="dxa" w:w="1800"/>
            <w:tcMar>
              <w:top w:w="70" w:type="dxa"/>
              <w:start w:w="100" w:type="dxa"/>
              <w:bottom w:w="70" w:type="dxa"/>
              <w:end w:w="100" w:type="dxa"/>
            </w:tcMar>
            <w:vAlign w:val="top"/>
          </w:tcPr>
          <w:p>
            <w:r>
              <w:rPr>
                <w:rFonts w:ascii="Aptos" w:hAnsi="Aptos"/>
                <w:b/>
                <w:i w:val="0"/>
                <w:color w:val="1C2732"/>
                <w:sz w:val="16"/>
              </w:rPr>
              <w:t>User Clients</w:t>
            </w:r>
          </w:p>
        </w:tc>
        <w:tc>
          <w:tcPr>
            <w:tcW w:type="dxa" w:w="4176"/>
            <w:tcMar>
              <w:top w:w="70" w:type="dxa"/>
              <w:start w:w="100" w:type="dxa"/>
              <w:bottom w:w="70" w:type="dxa"/>
              <w:end w:w="100" w:type="dxa"/>
            </w:tcMar>
            <w:vAlign w:val="top"/>
          </w:tcPr>
          <w:p>
            <w:r>
              <w:rPr>
                <w:rFonts w:ascii="Aptos" w:hAnsi="Aptos"/>
                <w:b w:val="0"/>
                <w:i w:val="0"/>
                <w:color w:val="1C2732"/>
                <w:sz w:val="16"/>
              </w:rPr>
              <w:t>Administrator console, desktop/mobile VPN clients, enrollment, connection controls, notifications and accessibility.</w:t>
            </w:r>
          </w:p>
        </w:tc>
        <w:tc>
          <w:tcPr>
            <w:tcW w:type="dxa" w:w="3672"/>
            <w:tcMar>
              <w:top w:w="70" w:type="dxa"/>
              <w:start w:w="100" w:type="dxa"/>
              <w:bottom w:w="70" w:type="dxa"/>
              <w:end w:w="100" w:type="dxa"/>
            </w:tcMar>
            <w:vAlign w:val="top"/>
          </w:tcPr>
          <w:p>
            <w:r>
              <w:rPr>
                <w:rFonts w:ascii="Consolas" w:hAnsi="Consolas"/>
                <w:b w:val="0"/>
                <w:i w:val="0"/>
                <w:color w:val="185B75"/>
                <w:sz w:val="15"/>
              </w:rPr>
              <w:t>apps/admin-console/*; apps/desktop-client/*; apps/mobile-client/*</w:t>
            </w:r>
          </w:p>
        </w:tc>
      </w:tr>
      <w:tr>
        <w:tc>
          <w:tcPr>
            <w:tcW w:type="dxa" w:w="504"/>
            <w:tcMar>
              <w:top w:w="70" w:type="dxa"/>
              <w:start w:w="100" w:type="dxa"/>
              <w:bottom w:w="70" w:type="dxa"/>
              <w:end w:w="100" w:type="dxa"/>
            </w:tcMar>
            <w:vAlign w:val="top"/>
          </w:tcPr>
          <w:p>
            <w:r>
              <w:rPr>
                <w:rFonts w:ascii="Aptos" w:hAnsi="Aptos"/>
                <w:b w:val="0"/>
                <w:i w:val="0"/>
                <w:color w:val="1C2732"/>
                <w:sz w:val="16"/>
              </w:rPr>
              <w:t>14</w:t>
            </w:r>
          </w:p>
        </w:tc>
        <w:tc>
          <w:tcPr>
            <w:tcW w:type="dxa" w:w="1800"/>
            <w:tcMar>
              <w:top w:w="70" w:type="dxa"/>
              <w:start w:w="100" w:type="dxa"/>
              <w:bottom w:w="70" w:type="dxa"/>
              <w:end w:w="100" w:type="dxa"/>
            </w:tcMar>
            <w:vAlign w:val="top"/>
          </w:tcPr>
          <w:p>
            <w:r>
              <w:rPr>
                <w:rFonts w:ascii="Aptos" w:hAnsi="Aptos"/>
                <w:b/>
                <w:i w:val="0"/>
                <w:color w:val="1C2732"/>
                <w:sz w:val="16"/>
              </w:rPr>
              <w:t>Delivery and Supply Chain</w:t>
            </w:r>
          </w:p>
        </w:tc>
        <w:tc>
          <w:tcPr>
            <w:tcW w:type="dxa" w:w="4176"/>
            <w:tcMar>
              <w:top w:w="70" w:type="dxa"/>
              <w:start w:w="100" w:type="dxa"/>
              <w:bottom w:w="70" w:type="dxa"/>
              <w:end w:w="100" w:type="dxa"/>
            </w:tcMar>
            <w:vAlign w:val="top"/>
          </w:tcPr>
          <w:p>
            <w:r>
              <w:rPr>
                <w:rFonts w:ascii="Aptos" w:hAnsi="Aptos"/>
                <w:b w:val="0"/>
                <w:i w:val="0"/>
                <w:color w:val="1C2732"/>
                <w:sz w:val="16"/>
              </w:rPr>
              <w:t>CI/CD, signed builds, SBOM, SAST, dependency/container scanning, provenance, staged rollout and rollback.</w:t>
            </w:r>
          </w:p>
        </w:tc>
        <w:tc>
          <w:tcPr>
            <w:tcW w:type="dxa" w:w="3672"/>
            <w:tcMar>
              <w:top w:w="70" w:type="dxa"/>
              <w:start w:w="100" w:type="dxa"/>
              <w:bottom w:w="70" w:type="dxa"/>
              <w:end w:w="100" w:type="dxa"/>
            </w:tcMar>
            <w:vAlign w:val="top"/>
          </w:tcPr>
          <w:p>
            <w:r>
              <w:rPr>
                <w:rFonts w:ascii="Consolas" w:hAnsi="Consolas"/>
                <w:b w:val="0"/>
                <w:i w:val="0"/>
                <w:color w:val="185B75"/>
                <w:sz w:val="15"/>
              </w:rPr>
              <w:t>.github/workflows/* or equivalent; deploy/signing/*; security/sbom/*</w:t>
            </w:r>
          </w:p>
        </w:tc>
      </w:tr>
      <w:tr>
        <w:tc>
          <w:tcPr>
            <w:tcW w:type="dxa" w:w="504"/>
            <w:tcMar>
              <w:top w:w="70" w:type="dxa"/>
              <w:start w:w="100" w:type="dxa"/>
              <w:bottom w:w="70" w:type="dxa"/>
              <w:end w:w="100" w:type="dxa"/>
            </w:tcMar>
            <w:vAlign w:val="top"/>
          </w:tcPr>
          <w:p>
            <w:r>
              <w:rPr>
                <w:rFonts w:ascii="Aptos" w:hAnsi="Aptos"/>
                <w:b w:val="0"/>
                <w:i w:val="0"/>
                <w:color w:val="1C2732"/>
                <w:sz w:val="16"/>
              </w:rPr>
              <w:t>15</w:t>
            </w:r>
          </w:p>
        </w:tc>
        <w:tc>
          <w:tcPr>
            <w:tcW w:type="dxa" w:w="1800"/>
            <w:tcMar>
              <w:top w:w="70" w:type="dxa"/>
              <w:start w:w="100" w:type="dxa"/>
              <w:bottom w:w="70" w:type="dxa"/>
              <w:end w:w="100" w:type="dxa"/>
            </w:tcMar>
            <w:vAlign w:val="top"/>
          </w:tcPr>
          <w:p>
            <w:r>
              <w:rPr>
                <w:rFonts w:ascii="Aptos" w:hAnsi="Aptos"/>
                <w:b/>
                <w:i w:val="0"/>
                <w:color w:val="1C2732"/>
                <w:sz w:val="16"/>
              </w:rPr>
              <w:t>Operations and Documentation</w:t>
            </w:r>
          </w:p>
        </w:tc>
        <w:tc>
          <w:tcPr>
            <w:tcW w:type="dxa" w:w="4176"/>
            <w:tcMar>
              <w:top w:w="70" w:type="dxa"/>
              <w:start w:w="100" w:type="dxa"/>
              <w:bottom w:w="70" w:type="dxa"/>
              <w:end w:w="100" w:type="dxa"/>
            </w:tcMar>
            <w:vAlign w:val="top"/>
          </w:tcPr>
          <w:p>
            <w:r>
              <w:rPr>
                <w:rFonts w:ascii="Aptos" w:hAnsi="Aptos"/>
                <w:b w:val="0"/>
                <w:i w:val="0"/>
                <w:color w:val="1C2732"/>
                <w:sz w:val="16"/>
              </w:rPr>
              <w:t>Monitoring, alerts, disaster recovery, installation, administration, incident response, support and Universal Final Audit.</w:t>
            </w:r>
          </w:p>
        </w:tc>
        <w:tc>
          <w:tcPr>
            <w:tcW w:type="dxa" w:w="3672"/>
            <w:tcMar>
              <w:top w:w="70" w:type="dxa"/>
              <w:start w:w="100" w:type="dxa"/>
              <w:bottom w:w="70" w:type="dxa"/>
              <w:end w:w="100" w:type="dxa"/>
            </w:tcMar>
            <w:vAlign w:val="top"/>
          </w:tcPr>
          <w:p>
            <w:r>
              <w:rPr>
                <w:rFonts w:ascii="Consolas" w:hAnsi="Consolas"/>
                <w:b w:val="0"/>
                <w:i w:val="0"/>
                <w:color w:val="185B75"/>
                <w:sz w:val="15"/>
              </w:rPr>
              <w:t>observability/*; runbooks/*; manuals/*; audits/*</w:t>
            </w:r>
          </w:p>
        </w:tc>
      </w:tr>
    </w:tbl>
    <w:p>
      <w:pPr>
        <w:pStyle w:val="Heading1"/>
      </w:pPr>
      <w:r>
        <w:t>Implementation sequence</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1872"/>
            <w:shd w:fill="DCE8ED"/>
            <w:tcMar>
              <w:top w:w="70" w:type="dxa"/>
              <w:start w:w="100" w:type="dxa"/>
              <w:bottom w:w="70" w:type="dxa"/>
              <w:end w:w="100" w:type="dxa"/>
            </w:tcMar>
          </w:tcPr>
          <w:p>
            <w:r>
              <w:rPr>
                <w:rFonts w:ascii="Aptos" w:hAnsi="Aptos"/>
                <w:b/>
                <w:i w:val="0"/>
                <w:color w:val="123F52"/>
                <w:sz w:val="18"/>
              </w:rPr>
              <w:t>Phase</w:t>
            </w:r>
          </w:p>
        </w:tc>
        <w:tc>
          <w:tcPr>
            <w:tcW w:type="dxa" w:w="3384"/>
            <w:shd w:fill="DCE8ED"/>
            <w:tcMar>
              <w:top w:w="70" w:type="dxa"/>
              <w:start w:w="100" w:type="dxa"/>
              <w:bottom w:w="70" w:type="dxa"/>
              <w:end w:w="100" w:type="dxa"/>
            </w:tcMar>
          </w:tcPr>
          <w:p>
            <w:r>
              <w:rPr>
                <w:rFonts w:ascii="Aptos" w:hAnsi="Aptos"/>
                <w:b/>
                <w:i w:val="0"/>
                <w:color w:val="123F52"/>
                <w:sz w:val="18"/>
              </w:rPr>
              <w:t>Scope</w:t>
            </w:r>
          </w:p>
        </w:tc>
        <w:tc>
          <w:tcPr>
            <w:tcW w:type="dxa" w:w="4896"/>
            <w:shd w:fill="DCE8ED"/>
            <w:tcMar>
              <w:top w:w="70" w:type="dxa"/>
              <w:start w:w="100" w:type="dxa"/>
              <w:bottom w:w="70" w:type="dxa"/>
              <w:end w:w="100" w:type="dxa"/>
            </w:tcMar>
          </w:tcPr>
          <w:p>
            <w:r>
              <w:rPr>
                <w:rFonts w:ascii="Aptos" w:hAnsi="Aptos"/>
                <w:b/>
                <w:i w:val="0"/>
                <w:color w:val="123F52"/>
                <w:sz w:val="18"/>
              </w:rPr>
              <w:t>Exit result</w:t>
            </w:r>
          </w:p>
        </w:tc>
      </w:tr>
      <w:tr>
        <w:tc>
          <w:tcPr>
            <w:tcW w:type="dxa" w:w="1872"/>
            <w:tcMar>
              <w:top w:w="70" w:type="dxa"/>
              <w:start w:w="100" w:type="dxa"/>
              <w:bottom w:w="70" w:type="dxa"/>
              <w:end w:w="100" w:type="dxa"/>
            </w:tcMar>
          </w:tcPr>
          <w:p>
            <w:r>
              <w:rPr>
                <w:rFonts w:ascii="Aptos" w:hAnsi="Aptos"/>
                <w:b/>
                <w:i w:val="0"/>
                <w:color w:val="1C2732"/>
                <w:sz w:val="17"/>
              </w:rPr>
              <w:t>Phase A — Control plane</w:t>
            </w:r>
          </w:p>
        </w:tc>
        <w:tc>
          <w:tcPr>
            <w:tcW w:type="dxa" w:w="3384"/>
            <w:tcMar>
              <w:top w:w="70" w:type="dxa"/>
              <w:start w:w="100" w:type="dxa"/>
              <w:bottom w:w="70" w:type="dxa"/>
              <w:end w:w="100" w:type="dxa"/>
            </w:tcMar>
          </w:tcPr>
          <w:p>
            <w:r>
              <w:rPr>
                <w:rFonts w:ascii="Aptos" w:hAnsi="Aptos"/>
                <w:b w:val="0"/>
                <w:i w:val="0"/>
                <w:color w:val="1C2732"/>
                <w:sz w:val="17"/>
              </w:rPr>
              <w:t>Persistence, APIs, Trust Core and signed events</w:t>
            </w:r>
          </w:p>
        </w:tc>
        <w:tc>
          <w:tcPr>
            <w:tcW w:type="dxa" w:w="4896"/>
            <w:tcMar>
              <w:top w:w="70" w:type="dxa"/>
              <w:start w:w="100" w:type="dxa"/>
              <w:bottom w:w="70" w:type="dxa"/>
              <w:end w:w="100" w:type="dxa"/>
            </w:tcMar>
          </w:tcPr>
          <w:p>
            <w:r>
              <w:rPr>
                <w:rFonts w:ascii="Aptos" w:hAnsi="Aptos"/>
                <w:b w:val="0"/>
                <w:i w:val="0"/>
                <w:color w:val="1C2732"/>
                <w:sz w:val="17"/>
              </w:rPr>
              <w:t>A deployable redundant control plane with protected issuance and real repositories.</w:t>
            </w:r>
          </w:p>
        </w:tc>
      </w:tr>
      <w:tr>
        <w:tc>
          <w:tcPr>
            <w:tcW w:type="dxa" w:w="1872"/>
            <w:tcMar>
              <w:top w:w="70" w:type="dxa"/>
              <w:start w:w="100" w:type="dxa"/>
              <w:bottom w:w="70" w:type="dxa"/>
              <w:end w:w="100" w:type="dxa"/>
            </w:tcMar>
          </w:tcPr>
          <w:p>
            <w:r>
              <w:rPr>
                <w:rFonts w:ascii="Aptos" w:hAnsi="Aptos"/>
                <w:b/>
                <w:i w:val="0"/>
                <w:color w:val="1C2732"/>
                <w:sz w:val="17"/>
              </w:rPr>
              <w:t>Phase B — Network plane</w:t>
            </w:r>
          </w:p>
        </w:tc>
        <w:tc>
          <w:tcPr>
            <w:tcW w:type="dxa" w:w="3384"/>
            <w:tcMar>
              <w:top w:w="70" w:type="dxa"/>
              <w:start w:w="100" w:type="dxa"/>
              <w:bottom w:w="70" w:type="dxa"/>
              <w:end w:w="100" w:type="dxa"/>
            </w:tcMar>
          </w:tcPr>
          <w:p>
            <w:r>
              <w:rPr>
                <w:rFonts w:ascii="Aptos" w:hAnsi="Aptos"/>
                <w:b w:val="0"/>
                <w:i w:val="0"/>
                <w:color w:val="1C2732"/>
                <w:sz w:val="17"/>
              </w:rPr>
              <w:t>WireGuard mesh, policy enforcement, DNS, relays and egress</w:t>
            </w:r>
          </w:p>
        </w:tc>
        <w:tc>
          <w:tcPr>
            <w:tcW w:type="dxa" w:w="4896"/>
            <w:tcMar>
              <w:top w:w="70" w:type="dxa"/>
              <w:start w:w="100" w:type="dxa"/>
              <w:bottom w:w="70" w:type="dxa"/>
              <w:end w:w="100" w:type="dxa"/>
            </w:tcMar>
          </w:tcPr>
          <w:p>
            <w:r>
              <w:rPr>
                <w:rFonts w:ascii="Aptos" w:hAnsi="Aptos"/>
                <w:b w:val="0"/>
                <w:i w:val="0"/>
                <w:color w:val="1C2732"/>
                <w:sz w:val="17"/>
              </w:rPr>
              <w:t>Direct and fallback connectivity with default-deny segmentation and safe changes.</w:t>
            </w:r>
          </w:p>
        </w:tc>
      </w:tr>
      <w:tr>
        <w:tc>
          <w:tcPr>
            <w:tcW w:type="dxa" w:w="1872"/>
            <w:tcMar>
              <w:top w:w="70" w:type="dxa"/>
              <w:start w:w="100" w:type="dxa"/>
              <w:bottom w:w="70" w:type="dxa"/>
              <w:end w:w="100" w:type="dxa"/>
            </w:tcMar>
          </w:tcPr>
          <w:p>
            <w:r>
              <w:rPr>
                <w:rFonts w:ascii="Aptos" w:hAnsi="Aptos"/>
                <w:b/>
                <w:i w:val="0"/>
                <w:color w:val="1C2732"/>
                <w:sz w:val="17"/>
              </w:rPr>
              <w:t>Phase C — Endpoint plane</w:t>
            </w:r>
          </w:p>
        </w:tc>
        <w:tc>
          <w:tcPr>
            <w:tcW w:type="dxa" w:w="3384"/>
            <w:tcMar>
              <w:top w:w="70" w:type="dxa"/>
              <w:start w:w="100" w:type="dxa"/>
              <w:bottom w:w="70" w:type="dxa"/>
              <w:end w:w="100" w:type="dxa"/>
            </w:tcMar>
          </w:tcPr>
          <w:p>
            <w:r>
              <w:rPr>
                <w:rFonts w:ascii="Aptos" w:hAnsi="Aptos"/>
                <w:b w:val="0"/>
                <w:i w:val="0"/>
                <w:color w:val="1C2732"/>
                <w:sz w:val="17"/>
              </w:rPr>
              <w:t>Linux, Windows, macOS and mobile clients</w:t>
            </w:r>
          </w:p>
        </w:tc>
        <w:tc>
          <w:tcPr>
            <w:tcW w:type="dxa" w:w="4896"/>
            <w:tcMar>
              <w:top w:w="70" w:type="dxa"/>
              <w:start w:w="100" w:type="dxa"/>
              <w:bottom w:w="70" w:type="dxa"/>
              <w:end w:w="100" w:type="dxa"/>
            </w:tcMar>
          </w:tcPr>
          <w:p>
            <w:r>
              <w:rPr>
                <w:rFonts w:ascii="Aptos" w:hAnsi="Aptos"/>
                <w:b w:val="0"/>
                <w:i w:val="0"/>
                <w:color w:val="1C2732"/>
                <w:sz w:val="17"/>
              </w:rPr>
              <w:t>Installable clients with posture, tamper protection, upgrades and kill-switch behavior.</w:t>
            </w:r>
          </w:p>
        </w:tc>
      </w:tr>
      <w:tr>
        <w:tc>
          <w:tcPr>
            <w:tcW w:type="dxa" w:w="1872"/>
            <w:tcMar>
              <w:top w:w="70" w:type="dxa"/>
              <w:start w:w="100" w:type="dxa"/>
              <w:bottom w:w="70" w:type="dxa"/>
              <w:end w:w="100" w:type="dxa"/>
            </w:tcMar>
          </w:tcPr>
          <w:p>
            <w:r>
              <w:rPr>
                <w:rFonts w:ascii="Aptos" w:hAnsi="Aptos"/>
                <w:b/>
                <w:i w:val="0"/>
                <w:color w:val="1C2732"/>
                <w:sz w:val="17"/>
              </w:rPr>
              <w:t>Phase D — Intelligence</w:t>
            </w:r>
          </w:p>
        </w:tc>
        <w:tc>
          <w:tcPr>
            <w:tcW w:type="dxa" w:w="3384"/>
            <w:tcMar>
              <w:top w:w="70" w:type="dxa"/>
              <w:start w:w="100" w:type="dxa"/>
              <w:bottom w:w="70" w:type="dxa"/>
              <w:end w:w="100" w:type="dxa"/>
            </w:tcMar>
          </w:tcPr>
          <w:p>
            <w:r>
              <w:rPr>
                <w:rFonts w:ascii="Aptos" w:hAnsi="Aptos"/>
                <w:b w:val="0"/>
                <w:i w:val="0"/>
                <w:color w:val="1C2732"/>
                <w:sz w:val="17"/>
              </w:rPr>
              <w:t>Threat engine, containment, audit and SOC</w:t>
            </w:r>
          </w:p>
        </w:tc>
        <w:tc>
          <w:tcPr>
            <w:tcW w:type="dxa" w:w="4896"/>
            <w:tcMar>
              <w:top w:w="70" w:type="dxa"/>
              <w:start w:w="100" w:type="dxa"/>
              <w:bottom w:w="70" w:type="dxa"/>
              <w:end w:w="100" w:type="dxa"/>
            </w:tcMar>
          </w:tcPr>
          <w:p>
            <w:r>
              <w:rPr>
                <w:rFonts w:ascii="Aptos" w:hAnsi="Aptos"/>
                <w:b w:val="0"/>
                <w:i w:val="0"/>
                <w:color w:val="1C2732"/>
                <w:sz w:val="17"/>
              </w:rPr>
              <w:t>End-to-end incident detection, quarantine, investigation and verified restoration.</w:t>
            </w:r>
          </w:p>
        </w:tc>
      </w:tr>
      <w:tr>
        <w:tc>
          <w:tcPr>
            <w:tcW w:type="dxa" w:w="1872"/>
            <w:tcMar>
              <w:top w:w="70" w:type="dxa"/>
              <w:start w:w="100" w:type="dxa"/>
              <w:bottom w:w="70" w:type="dxa"/>
              <w:end w:w="100" w:type="dxa"/>
            </w:tcMar>
          </w:tcPr>
          <w:p>
            <w:r>
              <w:rPr>
                <w:rFonts w:ascii="Aptos" w:hAnsi="Aptos"/>
                <w:b/>
                <w:i w:val="0"/>
                <w:color w:val="1C2732"/>
                <w:sz w:val="17"/>
              </w:rPr>
              <w:t>Phase E — Ecosystem</w:t>
            </w:r>
          </w:p>
        </w:tc>
        <w:tc>
          <w:tcPr>
            <w:tcW w:type="dxa" w:w="3384"/>
            <w:tcMar>
              <w:top w:w="70" w:type="dxa"/>
              <w:start w:w="100" w:type="dxa"/>
              <w:bottom w:w="70" w:type="dxa"/>
              <w:end w:w="100" w:type="dxa"/>
            </w:tcMar>
          </w:tcPr>
          <w:p>
            <w:r>
              <w:rPr>
                <w:rFonts w:ascii="Aptos" w:hAnsi="Aptos"/>
                <w:b w:val="0"/>
                <w:i w:val="0"/>
                <w:color w:val="1C2732"/>
                <w:sz w:val="17"/>
              </w:rPr>
              <w:t>BAPC integrations, deployment automation and Headquarters controls</w:t>
            </w:r>
          </w:p>
        </w:tc>
        <w:tc>
          <w:tcPr>
            <w:tcW w:type="dxa" w:w="4896"/>
            <w:tcMar>
              <w:top w:w="70" w:type="dxa"/>
              <w:start w:w="100" w:type="dxa"/>
              <w:bottom w:w="70" w:type="dxa"/>
              <w:end w:w="100" w:type="dxa"/>
            </w:tcMar>
          </w:tcPr>
          <w:p>
            <w:r>
              <w:rPr>
                <w:rFonts w:ascii="Aptos" w:hAnsi="Aptos"/>
                <w:b w:val="0"/>
                <w:i w:val="0"/>
                <w:color w:val="1C2732"/>
                <w:sz w:val="17"/>
              </w:rPr>
              <w:t>Zero-touch enrollment and owner-visible ecosystem security operations.</w:t>
            </w:r>
          </w:p>
        </w:tc>
      </w:tr>
      <w:tr>
        <w:tc>
          <w:tcPr>
            <w:tcW w:type="dxa" w:w="1872"/>
            <w:tcMar>
              <w:top w:w="70" w:type="dxa"/>
              <w:start w:w="100" w:type="dxa"/>
              <w:bottom w:w="70" w:type="dxa"/>
              <w:end w:w="100" w:type="dxa"/>
            </w:tcMar>
          </w:tcPr>
          <w:p>
            <w:r>
              <w:rPr>
                <w:rFonts w:ascii="Aptos" w:hAnsi="Aptos"/>
                <w:b/>
                <w:i w:val="0"/>
                <w:color w:val="1C2732"/>
                <w:sz w:val="17"/>
              </w:rPr>
              <w:t>Phase F — Release</w:t>
            </w:r>
          </w:p>
        </w:tc>
        <w:tc>
          <w:tcPr>
            <w:tcW w:type="dxa" w:w="3384"/>
            <w:tcMar>
              <w:top w:w="70" w:type="dxa"/>
              <w:start w:w="100" w:type="dxa"/>
              <w:bottom w:w="70" w:type="dxa"/>
              <w:end w:w="100" w:type="dxa"/>
            </w:tcMar>
          </w:tcPr>
          <w:p>
            <w:r>
              <w:rPr>
                <w:rFonts w:ascii="Aptos" w:hAnsi="Aptos"/>
                <w:b w:val="0"/>
                <w:i w:val="0"/>
                <w:color w:val="1C2732"/>
                <w:sz w:val="17"/>
              </w:rPr>
              <w:t>Security testing, failure drills, manuals and Universal Final Audit</w:t>
            </w:r>
          </w:p>
        </w:tc>
        <w:tc>
          <w:tcPr>
            <w:tcW w:type="dxa" w:w="4896"/>
            <w:tcMar>
              <w:top w:w="70" w:type="dxa"/>
              <w:start w:w="100" w:type="dxa"/>
              <w:bottom w:w="70" w:type="dxa"/>
              <w:end w:w="100" w:type="dxa"/>
            </w:tcMar>
          </w:tcPr>
          <w:p>
            <w:r>
              <w:rPr>
                <w:rFonts w:ascii="Aptos" w:hAnsi="Aptos"/>
                <w:b w:val="0"/>
                <w:i w:val="0"/>
                <w:color w:val="1C2732"/>
                <w:sz w:val="17"/>
              </w:rPr>
              <w:t>Signed, monitored, recoverable release approved for production activation.</w:t>
            </w:r>
          </w:p>
        </w:tc>
      </w:tr>
    </w:tbl>
    <w:p>
      <w:pPr>
        <w:pStyle w:val="Heading1"/>
      </w:pPr>
      <w:r>
        <w:t>Non-negotiable technical rules</w:t>
      </w:r>
    </w:p>
    <w:p>
      <w:pPr>
        <w:pStyle w:val="ListBullet"/>
        <w:spacing w:after="80"/>
      </w:pPr>
      <w:r>
        <w:rPr>
          <w:rFonts w:ascii="Aptos" w:hAnsi="Aptos"/>
          <w:b w:val="0"/>
          <w:i w:val="0"/>
          <w:color w:val="1C2732"/>
          <w:sz w:val="19"/>
        </w:rPr>
        <w:t>Private CA keys, WireGuard private keys, hardware-bound private keys and FIDO secrets never enter application databases, logs, documents or source control.</w:t>
      </w:r>
    </w:p>
    <w:p>
      <w:pPr>
        <w:pStyle w:val="ListBullet"/>
        <w:spacing w:after="80"/>
      </w:pPr>
      <w:r>
        <w:rPr>
          <w:rFonts w:ascii="Aptos" w:hAnsi="Aptos"/>
          <w:b w:val="0"/>
          <w:i w:val="0"/>
          <w:color w:val="1C2732"/>
          <w:sz w:val="19"/>
        </w:rPr>
        <w:t>Policies flow through validated BAPC policy IR and platform-specific enforcement; arbitrary YAML is never compiled directly into uncontrolled kernel bytecode.</w:t>
      </w:r>
    </w:p>
    <w:p>
      <w:pPr>
        <w:pStyle w:val="ListBullet"/>
        <w:spacing w:after="80"/>
      </w:pPr>
      <w:r>
        <w:rPr>
          <w:rFonts w:ascii="Aptos" w:hAnsi="Aptos"/>
          <w:b w:val="0"/>
          <w:i w:val="0"/>
          <w:color w:val="1C2732"/>
          <w:sz w:val="19"/>
        </w:rPr>
        <w:t>The OOB path uses independent endpoints, credentials and policy scope so a faulty mesh rule cannot disable recovery.</w:t>
      </w:r>
    </w:p>
    <w:p>
      <w:pPr>
        <w:pStyle w:val="ListBullet"/>
        <w:spacing w:after="80"/>
      </w:pPr>
      <w:r>
        <w:rPr>
          <w:rFonts w:ascii="Aptos" w:hAnsi="Aptos"/>
          <w:b w:val="0"/>
          <w:i w:val="0"/>
          <w:color w:val="1C2732"/>
          <w:sz w:val="19"/>
        </w:rPr>
        <w:t>Safe-Apply stages changes, runs canary verification, commits success and automatically restores the last-known-good state after failure or timeout.</w:t>
      </w:r>
    </w:p>
    <w:p>
      <w:pPr>
        <w:pStyle w:val="ListBullet"/>
        <w:spacing w:after="80"/>
      </w:pPr>
      <w:r>
        <w:rPr>
          <w:rFonts w:ascii="Aptos" w:hAnsi="Aptos"/>
          <w:b w:val="0"/>
          <w:i w:val="0"/>
          <w:color w:val="1C2732"/>
          <w:sz w:val="19"/>
        </w:rPr>
        <w:t>Quarantine combines routes, distributed deny policy, identity revocation and credential revocation; route withdrawal alone is not sufficient.</w:t>
      </w:r>
    </w:p>
    <w:p>
      <w:pPr>
        <w:pStyle w:val="ListBullet"/>
        <w:spacing w:after="80"/>
      </w:pPr>
      <w:r>
        <w:rPr>
          <w:rFonts w:ascii="Aptos" w:hAnsi="Aptos"/>
          <w:b w:val="0"/>
          <w:i w:val="0"/>
          <w:color w:val="1C2732"/>
          <w:sz w:val="19"/>
        </w:rPr>
        <w:t>iOS/iPadOS uses NetworkExtension and permitted background behavior; it is not treated as an unrestricted root daemon.</w:t>
      </w:r>
    </w:p>
    <w:p>
      <w:pPr>
        <w:pStyle w:val="ListBullet"/>
        <w:spacing w:after="80"/>
      </w:pPr>
      <w:r>
        <w:rPr>
          <w:rFonts w:ascii="Aptos" w:hAnsi="Aptos"/>
          <w:b w:val="0"/>
          <w:i w:val="0"/>
          <w:color w:val="1C2732"/>
          <w:sz w:val="19"/>
        </w:rPr>
        <w:t>Every privileged or emergency action requires strong authentication, authorization, confirmation, audit capture and a tested recovery route.</w:t>
      </w:r>
    </w:p>
    <w:p>
      <w:pPr>
        <w:pStyle w:val="ListBullet"/>
        <w:spacing w:after="80"/>
      </w:pPr>
      <w:r>
        <w:rPr>
          <w:rFonts w:ascii="Aptos" w:hAnsi="Aptos"/>
          <w:b w:val="0"/>
          <w:i w:val="0"/>
          <w:color w:val="1C2732"/>
          <w:sz w:val="19"/>
        </w:rPr>
        <w:t>Development adapters, placeholder certificates and development token secrets are prohibited in production builds.</w:t>
      </w:r>
    </w:p>
    <w:p>
      <w:pPr>
        <w:pStyle w:val="Heading1"/>
      </w:pPr>
      <w:r>
        <w:t>Production acceptance gates</w:t>
      </w:r>
    </w:p>
    <w:p>
      <w:pPr>
        <w:keepLines/>
      </w:pPr>
      <w:r>
        <w:rPr>
          <w:rFonts w:ascii="Aptos" w:hAnsi="Aptos"/>
          <w:b/>
          <w:i w:val="0"/>
          <w:color w:val="185B75"/>
          <w:sz w:val="20"/>
        </w:rPr>
        <w:t xml:space="preserve">☐ Build integrity: </w:t>
      </w:r>
      <w:r>
        <w:rPr>
          <w:rFonts w:ascii="Aptos" w:hAnsi="Aptos"/>
          <w:b w:val="0"/>
          <w:i w:val="0"/>
          <w:color w:val="1C2732"/>
          <w:sz w:val="20"/>
        </w:rPr>
        <w:t>All supported components build from a clean checkout using locked dependencies; release artifacts are reproducible and signed.</w:t>
      </w:r>
    </w:p>
    <w:p>
      <w:pPr>
        <w:keepLines/>
      </w:pPr>
      <w:r>
        <w:rPr>
          <w:rFonts w:ascii="Aptos" w:hAnsi="Aptos"/>
          <w:b/>
          <w:i w:val="0"/>
          <w:color w:val="185B75"/>
          <w:sz w:val="20"/>
        </w:rPr>
        <w:t xml:space="preserve">☐ Automated verification: </w:t>
      </w:r>
      <w:r>
        <w:rPr>
          <w:rFonts w:ascii="Aptos" w:hAnsi="Aptos"/>
          <w:b w:val="0"/>
          <w:i w:val="0"/>
          <w:color w:val="1C2732"/>
          <w:sz w:val="20"/>
        </w:rPr>
        <w:t>Unit, integration, API, gRPC, policy, database, native-adapter and Playwright suites pass with no unexplained skips.</w:t>
      </w:r>
    </w:p>
    <w:p>
      <w:pPr>
        <w:keepLines/>
      </w:pPr>
      <w:r>
        <w:rPr>
          <w:rFonts w:ascii="Aptos" w:hAnsi="Aptos"/>
          <w:b/>
          <w:i w:val="0"/>
          <w:color w:val="185B75"/>
          <w:sz w:val="20"/>
        </w:rPr>
        <w:t xml:space="preserve">☐ Network safety: </w:t>
      </w:r>
      <w:r>
        <w:rPr>
          <w:rFonts w:ascii="Aptos" w:hAnsi="Aptos"/>
          <w:b w:val="0"/>
          <w:i w:val="0"/>
          <w:color w:val="1C2732"/>
          <w:sz w:val="20"/>
        </w:rPr>
        <w:t>Safe-Apply rollback, OOB recovery, kill switch, split tunnel, hostile-network mode and relay/gateway failover pass in realistic failure tests.</w:t>
      </w:r>
    </w:p>
    <w:p>
      <w:pPr>
        <w:keepLines/>
      </w:pPr>
      <w:r>
        <w:rPr>
          <w:rFonts w:ascii="Aptos" w:hAnsi="Aptos"/>
          <w:b/>
          <w:i w:val="0"/>
          <w:color w:val="185B75"/>
          <w:sz w:val="20"/>
        </w:rPr>
        <w:t xml:space="preserve">☐ Identity and trust: </w:t>
      </w:r>
      <w:r>
        <w:rPr>
          <w:rFonts w:ascii="Aptos" w:hAnsi="Aptos"/>
          <w:b w:val="0"/>
          <w:i w:val="0"/>
          <w:color w:val="1C2732"/>
          <w:sz w:val="20"/>
        </w:rPr>
        <w:t>Hardware enrollment, certificate rotation/revocation, continuous authorization, JIT expiration and break-glass alerting are verified.</w:t>
      </w:r>
    </w:p>
    <w:p>
      <w:pPr>
        <w:keepLines/>
      </w:pPr>
      <w:r>
        <w:rPr>
          <w:rFonts w:ascii="Aptos" w:hAnsi="Aptos"/>
          <w:b/>
          <w:i w:val="0"/>
          <w:color w:val="185B75"/>
          <w:sz w:val="20"/>
        </w:rPr>
        <w:t xml:space="preserve">☐ Containment: </w:t>
      </w:r>
      <w:r>
        <w:rPr>
          <w:rFonts w:ascii="Aptos" w:hAnsi="Aptos"/>
          <w:b w:val="0"/>
          <w:i w:val="0"/>
          <w:color w:val="1C2732"/>
          <w:sz w:val="20"/>
        </w:rPr>
        <w:t>A compromised test node is isolated, loses credentials/routes, retains only Diagnostics access and is restored only by verified clearance.</w:t>
      </w:r>
    </w:p>
    <w:p>
      <w:pPr>
        <w:keepLines/>
      </w:pPr>
      <w:r>
        <w:rPr>
          <w:rFonts w:ascii="Aptos" w:hAnsi="Aptos"/>
          <w:b/>
          <w:i w:val="0"/>
          <w:color w:val="185B75"/>
          <w:sz w:val="20"/>
        </w:rPr>
        <w:t xml:space="preserve">☐ Platform coverage: </w:t>
      </w:r>
      <w:r>
        <w:rPr>
          <w:rFonts w:ascii="Aptos" w:hAnsi="Aptos"/>
          <w:b w:val="0"/>
          <w:i w:val="0"/>
          <w:color w:val="1C2732"/>
          <w:sz w:val="20"/>
        </w:rPr>
        <w:t>Linux, Windows, macOS and supported iOS/iPadOS behavior is verified within each operating system’s security model.</w:t>
      </w:r>
    </w:p>
    <w:p>
      <w:pPr>
        <w:keepLines/>
      </w:pPr>
      <w:r>
        <w:rPr>
          <w:rFonts w:ascii="Aptos" w:hAnsi="Aptos"/>
          <w:b/>
          <w:i w:val="0"/>
          <w:color w:val="185B75"/>
          <w:sz w:val="20"/>
        </w:rPr>
        <w:t xml:space="preserve">☐ Data protection: </w:t>
      </w:r>
      <w:r>
        <w:rPr>
          <w:rFonts w:ascii="Aptos" w:hAnsi="Aptos"/>
          <w:b w:val="0"/>
          <w:i w:val="0"/>
          <w:color w:val="1C2732"/>
          <w:sz w:val="20"/>
        </w:rPr>
        <w:t>No private keys or hardware secrets enter PostgreSQL/logs; backups restore successfully; retention and deletion operate as designed.</w:t>
      </w:r>
    </w:p>
    <w:p>
      <w:pPr>
        <w:keepLines/>
      </w:pPr>
      <w:r>
        <w:rPr>
          <w:rFonts w:ascii="Aptos" w:hAnsi="Aptos"/>
          <w:b/>
          <w:i w:val="0"/>
          <w:color w:val="185B75"/>
          <w:sz w:val="20"/>
        </w:rPr>
        <w:t xml:space="preserve">☐ Operational readiness: </w:t>
      </w:r>
      <w:r>
        <w:rPr>
          <w:rFonts w:ascii="Aptos" w:hAnsi="Aptos"/>
          <w:b w:val="0"/>
          <w:i w:val="0"/>
          <w:color w:val="1C2732"/>
          <w:sz w:val="20"/>
        </w:rPr>
        <w:t>Dashboards, alerts, runbooks, upgrades, rollback, disaster recovery and on-call procedures pass a rehearsal.</w:t>
      </w:r>
    </w:p>
    <w:p>
      <w:pPr>
        <w:keepLines/>
      </w:pPr>
      <w:r>
        <w:rPr>
          <w:rFonts w:ascii="Aptos" w:hAnsi="Aptos"/>
          <w:b/>
          <w:i w:val="0"/>
          <w:color w:val="185B75"/>
          <w:sz w:val="20"/>
        </w:rPr>
        <w:t xml:space="preserve">☐ Security assessment: </w:t>
      </w:r>
      <w:r>
        <w:rPr>
          <w:rFonts w:ascii="Aptos" w:hAnsi="Aptos"/>
          <w:b w:val="0"/>
          <w:i w:val="0"/>
          <w:color w:val="1C2732"/>
          <w:sz w:val="20"/>
        </w:rPr>
        <w:t>Threat model, code review, vulnerability scans and independent penetration testing have no unresolved critical/high findings.</w:t>
      </w:r>
    </w:p>
    <w:p>
      <w:pPr>
        <w:keepLines/>
      </w:pPr>
      <w:r>
        <w:rPr>
          <w:rFonts w:ascii="Aptos" w:hAnsi="Aptos"/>
          <w:b/>
          <w:i w:val="0"/>
          <w:color w:val="185B75"/>
          <w:sz w:val="20"/>
        </w:rPr>
        <w:t xml:space="preserve">☐ Universal Final Audit: </w:t>
      </w:r>
      <w:r>
        <w:rPr>
          <w:rFonts w:ascii="Aptos" w:hAnsi="Aptos"/>
          <w:b w:val="0"/>
          <w:i w:val="0"/>
          <w:color w:val="1C2732"/>
          <w:sz w:val="20"/>
        </w:rPr>
        <w:t>Deployment, routes, auth, mobile/desktop, security, integrations, failures, backups, logs, copyright and test-account cleanup all pass.</w:t>
      </w:r>
    </w:p>
    <w:p>
      <w:pPr>
        <w:pStyle w:val="Heading1"/>
      </w:pPr>
      <w:r>
        <w:t>Required final deliverables</w:t>
      </w:r>
    </w:p>
    <w:p>
      <w:pPr>
        <w:pStyle w:val="ListBullet"/>
        <w:spacing w:after="60"/>
      </w:pPr>
      <w:r>
        <w:rPr>
          <w:rFonts w:ascii="Aptos" w:hAnsi="Aptos"/>
          <w:b w:val="0"/>
          <w:i w:val="0"/>
          <w:color w:val="1C2732"/>
          <w:sz w:val="19"/>
        </w:rPr>
        <w:t>Complete source repository and locked dependency manifests</w:t>
      </w:r>
    </w:p>
    <w:p>
      <w:pPr>
        <w:pStyle w:val="ListBullet"/>
        <w:spacing w:after="60"/>
      </w:pPr>
      <w:r>
        <w:rPr>
          <w:rFonts w:ascii="Aptos" w:hAnsi="Aptos"/>
          <w:b w:val="0"/>
          <w:i w:val="0"/>
          <w:color w:val="1C2732"/>
          <w:sz w:val="19"/>
        </w:rPr>
        <w:t>Platform installers and signed release artifacts</w:t>
      </w:r>
    </w:p>
    <w:p>
      <w:pPr>
        <w:pStyle w:val="ListBullet"/>
        <w:spacing w:after="60"/>
      </w:pPr>
      <w:r>
        <w:rPr>
          <w:rFonts w:ascii="Aptos" w:hAnsi="Aptos"/>
          <w:b w:val="0"/>
          <w:i w:val="0"/>
          <w:color w:val="1C2732"/>
          <w:sz w:val="19"/>
        </w:rPr>
        <w:t>Database migration and rollback set</w:t>
      </w:r>
    </w:p>
    <w:p>
      <w:pPr>
        <w:pStyle w:val="ListBullet"/>
        <w:spacing w:after="60"/>
      </w:pPr>
      <w:r>
        <w:rPr>
          <w:rFonts w:ascii="Aptos" w:hAnsi="Aptos"/>
          <w:b w:val="0"/>
          <w:i w:val="0"/>
          <w:color w:val="1C2732"/>
          <w:sz w:val="19"/>
        </w:rPr>
        <w:t>OpenAPI and gRPC contract package</w:t>
      </w:r>
    </w:p>
    <w:p>
      <w:pPr>
        <w:pStyle w:val="ListBullet"/>
        <w:spacing w:after="60"/>
      </w:pPr>
      <w:r>
        <w:rPr>
          <w:rFonts w:ascii="Aptos" w:hAnsi="Aptos"/>
          <w:b w:val="0"/>
          <w:i w:val="0"/>
          <w:color w:val="1C2732"/>
          <w:sz w:val="19"/>
        </w:rPr>
        <w:t>Infrastructure-as-code and multi-region deployment manifests</w:t>
      </w:r>
    </w:p>
    <w:p>
      <w:pPr>
        <w:pStyle w:val="ListBullet"/>
        <w:spacing w:after="60"/>
      </w:pPr>
      <w:r>
        <w:rPr>
          <w:rFonts w:ascii="Aptos" w:hAnsi="Aptos"/>
          <w:b w:val="0"/>
          <w:i w:val="0"/>
          <w:color w:val="1C2732"/>
          <w:sz w:val="19"/>
        </w:rPr>
        <w:t>Security policy library and default-deny baseline</w:t>
      </w:r>
    </w:p>
    <w:p>
      <w:pPr>
        <w:pStyle w:val="ListBullet"/>
        <w:spacing w:after="60"/>
      </w:pPr>
      <w:r>
        <w:rPr>
          <w:rFonts w:ascii="Aptos" w:hAnsi="Aptos"/>
          <w:b w:val="0"/>
          <w:i w:val="0"/>
          <w:color w:val="1C2732"/>
          <w:sz w:val="19"/>
        </w:rPr>
        <w:t>SOC, administrator and user clients</w:t>
      </w:r>
    </w:p>
    <w:p>
      <w:pPr>
        <w:pStyle w:val="ListBullet"/>
        <w:spacing w:after="60"/>
      </w:pPr>
      <w:r>
        <w:rPr>
          <w:rFonts w:ascii="Aptos" w:hAnsi="Aptos"/>
          <w:b w:val="0"/>
          <w:i w:val="0"/>
          <w:color w:val="1C2732"/>
          <w:sz w:val="19"/>
        </w:rPr>
        <w:t>Automated test suites and recorded results</w:t>
      </w:r>
    </w:p>
    <w:p>
      <w:pPr>
        <w:pStyle w:val="ListBullet"/>
        <w:spacing w:after="60"/>
      </w:pPr>
      <w:r>
        <w:rPr>
          <w:rFonts w:ascii="Aptos" w:hAnsi="Aptos"/>
          <w:b w:val="0"/>
          <w:i w:val="0"/>
          <w:color w:val="1C2732"/>
          <w:sz w:val="19"/>
        </w:rPr>
        <w:t>Threat model, SBOM, scan results and penetration-test report</w:t>
      </w:r>
    </w:p>
    <w:p>
      <w:pPr>
        <w:pStyle w:val="ListBullet"/>
        <w:spacing w:after="60"/>
      </w:pPr>
      <w:r>
        <w:rPr>
          <w:rFonts w:ascii="Aptos" w:hAnsi="Aptos"/>
          <w:b w:val="0"/>
          <w:i w:val="0"/>
          <w:color w:val="1C2732"/>
          <w:sz w:val="19"/>
        </w:rPr>
        <w:t>Installation, administration, incident, recovery and support manuals</w:t>
      </w:r>
    </w:p>
    <w:p>
      <w:pPr>
        <w:pStyle w:val="ListBullet"/>
        <w:spacing w:after="60"/>
      </w:pPr>
      <w:r>
        <w:rPr>
          <w:rFonts w:ascii="Aptos" w:hAnsi="Aptos"/>
          <w:b w:val="0"/>
          <w:i w:val="0"/>
          <w:color w:val="1C2732"/>
          <w:sz w:val="19"/>
        </w:rPr>
        <w:t>Backup/restore and disaster-recovery evidence</w:t>
      </w:r>
    </w:p>
    <w:p>
      <w:pPr>
        <w:pStyle w:val="ListBullet"/>
        <w:spacing w:after="60"/>
      </w:pPr>
      <w:r>
        <w:rPr>
          <w:rFonts w:ascii="Aptos" w:hAnsi="Aptos"/>
          <w:b w:val="0"/>
          <w:i w:val="0"/>
          <w:color w:val="1C2732"/>
          <w:sz w:val="19"/>
        </w:rPr>
        <w:t>BAPC Universal Final Audit report with pass/fail evidence</w:t>
      </w:r>
    </w:p>
    <w:p>
      <w:pPr>
        <w:pStyle w:val="Heading1"/>
      </w:pPr>
      <w:r>
        <w:t>Definition of production complete</w:t>
      </w:r>
    </w:p>
    <w:tbl>
      <w:tblPr>
        <w:tblW w:type="auto" w:w="0"/>
        <w:tblLook w:firstColumn="1" w:firstRow="1" w:lastColumn="0" w:lastRow="0" w:noHBand="0" w:noVBand="1" w:val="04A0"/>
      </w:tblPr>
      <w:tblGrid>
        <w:gridCol w:w="10080"/>
      </w:tblGrid>
      <w:tr>
        <w:tc>
          <w:tcPr>
            <w:tcW w:type="dxa" w:w="10080"/>
            <w:shd w:fill="E4F0EA"/>
            <w:tcMar>
              <w:top w:w="70" w:type="dxa"/>
              <w:start w:w="100" w:type="dxa"/>
              <w:bottom w:w="70" w:type="dxa"/>
              <w:end w:w="100" w:type="dxa"/>
            </w:tcMar>
          </w:tcPr>
          <w:p>
            <w:pPr>
              <w:spacing w:after="0"/>
            </w:pPr>
            <w:r>
              <w:rPr>
                <w:rFonts w:ascii="Aptos" w:hAnsi="Aptos"/>
                <w:b/>
                <w:i w:val="0"/>
                <w:color w:val="194A32"/>
                <w:sz w:val="22"/>
              </w:rPr>
              <w:t>BAPC VPN &amp; Digital Security™ is production complete only when all fifteen workstreams are implemented, every acceptance gate passes with retained evidence, supported clients are installable and signed, production adapters replace every development adapter, recovery drills succeed, no unresolved critical/high security finding remains, and the Universal Final Audit is approved.</w:t>
            </w:r>
          </w:p>
        </w:tc>
      </w:tr>
    </w:tbl>
    <w:p>
      <w:pPr>
        <w:pStyle w:val="Heading1"/>
      </w:pPr>
      <w:r>
        <w:t>Current official status</w:t>
      </w:r>
    </w:p>
    <w:p>
      <w:r>
        <w:rPr>
          <w:rFonts w:ascii="Aptos" w:hAnsi="Aptos"/>
          <w:b/>
          <w:i w:val="0"/>
          <w:color w:val="8A2D20"/>
          <w:sz w:val="24"/>
        </w:rPr>
        <w:t>Current status: TESTED FOUNDATION — PRODUCTION COMPLETION IN PROGRESS.</w:t>
      </w:r>
    </w:p>
    <w:p>
      <w:r>
        <w:rPr>
          <w:rFonts w:ascii="Aptos" w:hAnsi="Aptos"/>
          <w:b w:val="0"/>
          <w:i/>
          <w:color w:val="596978"/>
          <w:sz w:val="20"/>
        </w:rPr>
        <w:t>The earlier “Full Code Packet” title refers to the full foundation repository packet, not a finished live security platform. This addendum is the controlling document for completion.</w:t>
      </w:r>
    </w:p>
    <w:sectPr w:rsidR="00FC693F" w:rsidRPr="0006063C" w:rsidSect="00034616">
      <w:headerReference w:type="default" r:id="rId9"/>
      <w:footerReference w:type="default" r:id="rId10"/>
      <w:pgSz w:w="12240" w:h="15840"/>
      <w:pgMar w:top="1008" w:right="1080" w:bottom="1008" w:left="108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A7681"/>
        <w:sz w:val="15"/>
      </w:rPr>
      <w:t xml:space="preserve">Bakko Armour LLC  •  Internal Build Authority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A7681"/>
        <w:sz w:val="15"/>
      </w:rPr>
      <w:t>BAPC VPN &amp; DIGITAL SECURITY™  |  PRODUCTION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C27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8B681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85B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182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b w:val="0"/>
      <w:i/>
      <w:iCs/>
      <w:color w:val="5969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BAPC VPN &amp; Digital Security Production Completion Addendum</dc:title>
  <dc:subject>Remaining implementation requirements and production-complete definition</dc:subject>
  <dc:creator>Bakko Armour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