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0" w:before="1200"/></w:pPr><w:r><w:rPr><w:b/><w:bCs/><w:color w:val="1B365D"/><w:sz w:val="52"/><w:szCs w:val="52"/></w:rPr><w:t xml:space="preserve">Customs Analytics</w:t></w:r></w:p><w:p><w:pPr><w:spacing w:after="200"/></w:pPr><w:r><w:rPr><w:color w:val="2E5C8A"/><w:sz w:val="30"/><w:szCs w:val="30"/></w:rPr><w:t xml:space="preserve">Hosting og drift (Udkast)</w:t></w:r></w:p><w:p><w:pPr><w:spacing w:after="120"/></w:pPr><w:r><w:rPr><w:sz w:val="20"/><w:szCs w:val="20"/></w:rPr><w:t xml:space="preserve">Bal AI · told- og importanalyse af danske DMS/WCO-importdata</w:t></w:r></w:p><w:p><w:pPr><w:spacing w:after="120"/></w:pPr><w:r><w:rPr><w:sz w:val="20"/><w:szCs w:val="20"/></w:rPr><w:t xml:space="preserve">Version 0.2.0 · 1. juli 2026</w:t></w:r></w:p><w:p><w:pPr><w:spacing w:before="200"/></w:pPr><w:r><w:rPr><w:i/><w:iCs/><w:color w:val="666666"/><w:sz w:val="18"/><w:szCs w:val="18"/></w:rPr><w:t xml:space="preserve">Klassifikation: Fortroligt — internt. Kun privat repo og EY-godkendte systemer.</w:t></w:r></w:p><w:p><w:r><w:br w:type="page"/></w:r></w:p><w:p><w:pPr><w:spacing w:after="120"/></w:pPr><w:r><w:rPr><w:sz w:val="20"/><w:szCs w:val="20"/></w:rPr><w:t xml:space="preserve">UDKAST — den endelige driftsmodel afhænger af EY-platformsbeslutningen.</w:t></w:r></w:p><w:p><w:pPr><w:spacing w:after="120" w:before="280"/></w:pPr><w:r><w:rPr><w:b/><w:bCs/><w:color w:val="1B365D"/><w:sz w:val="26"/><w:szCs w:val="26"/></w:rPr><w:t xml:space="preserve">1. Nuværende opsætning</w:t></w:r></w:p><0/><w:p><w:pPr><w:spacing w:after="120" w:before="280"/></w:pPr><w:r><w:rPr><w:b/><w:bCs/><w:color w:val="1B365D"/><w:sz w:val="26"/><w:szCs w:val="26"/></w:rPr><w:t xml:space="preserve">2. Mål: EY-platform</w:t></w:r></w:p><w:p><w:pPr><w:spacing w:after="120"/></w:pPr><w:r><w:rPr><w:sz w:val="20"/><w:szCs w:val="20"/></w:rPr><w:t xml:space="preserve">Værktøjet er platform-agnostisk (WSGI + SQLite/volumen) og kan flyttes uden ændring i kontrol-logikken. Ved produktionsbrug med klientdata flyttes det til EY&apos;s godkendte platform; SQLite kan om nødvendigt erstattes af managed PostgreSQL.</w:t></w:r></w:p><w:p><w:pPr><w:spacing w:after="120" w:before="280"/></w:pPr><w:r><w:rPr><w:b/><w:bCs/><w:color w:val="1B365D"/><w:sz w:val="26"/><w:szCs w:val="26"/></w:rPr><w:t xml:space="preserve">3. Migrationsplan</w:t></w:r></w:p><0/><w:p><w:pPr><w:spacing w:after="120" w:before="280"/></w:pPr><w:r><w:rPr><w:b/><w:bCs/><w:color w:val="1B365D"/><w:sz w:val="26"/><w:szCs w:val="26"/></w:rPr><w:t xml:space="preserve">4. Miljø- og konfig-inventar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"/><w:gridCol w:w="72"/></w:tblGrid><w:tr><w:trPr><w:tblHeader/></w:trPr><w:tc><w:tcPr><w:tcW w:type="dxa" w:w="28"/><w:shd w:fill="1B365D" w:color="auto" w:val="clear"/><w:tcMar><w:top w:type="dxa" w:w="60"/><w:left w:type="dxa" w:w="90"/><w:bottom w:type="dxa" w:w="60"/><w:right w:type="dxa" w:w="90"/></w:tcMar></w:tcPr><w:p><w:r><w:rPr><w:b/><w:bCs/><w:color w:val="FFFFFF"/><w:sz w:val="18"/><w:szCs w:val="18"/></w:rPr><w:t xml:space="preserve">Variabel</w:t></w:r></w:p></w:tc><w:tc><w:tcPr><w:tcW w:type="dxa" w:w="72"/><w:shd w:fill="1B365D" w:color="auto" w:val="clear"/><w:tcMar><w:top w:type="dxa" w:w="60"/><w:left w:type="dxa" w:w="90"/><w:bottom w:type="dxa" w:w="60"/><w:right w:type="dxa" w:w="90"/></w:tcMar></w:tcPr><w:p><w:r><w:rPr><w:b/><w:bCs/><w:color w:val="FFFFFF"/><w:sz w:val="18"/><w:szCs w:val="18"/></w:rPr><w:t xml:space="preserve">Formål</w:t></w:r></w:p></w:tc></w:tr><w:tr><w:tc><w:tcPr><w:tcW w:type="dxa" w:w="28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SECRET_KEY</w:t></w:r></w:p></w:tc><w:tc><w:tcPr><w:tcW w:type="dxa" w:w="72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Session-signering (skal være sat; deles på tværs ved central login)</w:t></w:r></w:p></w:tc></w:tr><w:tr><w:tc><w:tcPr><w:tcW w:type="dxa" w:w="28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AUTH_DB_PATH</w:t></w:r></w:p></w:tc><w:tc><w:tcPr><w:tcW w:type="dxa" w:w="72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Sti til auth-db på persistent volume (/data/auth.db)</w:t></w:r></w:p></w:tc></w:tr><w:tr><w:tc><w:tcPr><w:tcW w:type="dxa" w:w="28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AUDIT_DB_PATH</w:t></w:r></w:p></w:tc><w:tc><w:tcPr><w:tcW w:type="dxa" w:w="72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Sti til audit-db på persistent volume (/data/audit.db)</w:t></w:r></w:p></w:tc></w:tr><w:tr><w:tc><w:tcPr><w:tcW w:type="dxa" w:w="28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PORT</w:t></w:r></w:p></w:tc><w:tc><w:tcPr><w:tcW w:type="dxa" w:w="72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Bind-port (sættes af platformen)</w:t></w:r></w:p></w:tc></w:tr></w:tbl><w:p><w:pPr><w:spacing w:after="120"/></w:pPr><w:r><w:rPr><w:sz w:val="20"/><w:szCs w:val="20"/></w:rPr><w:t xml:space="preserve">Bemærk: stierne strippes for blanktegn i koden, så en utilsigtet mellemrums-fejl i en variabel ikke lander databasen på efemer disk (driftsfund, lukket 2026-06-18).</w:t></w:r></w:p><w:p><w:pPr><w:spacing w:after="120" w:before="280"/></w:pPr><w:r><w:rPr><w:b/><w:bCs/><w:color w:val="1B365D"/><w:sz w:val="26"/><w:szCs w:val="26"/></w:rPr><w:t xml:space="preserve">5. Backup og BCDR</w:t></w:r></w:p><w:p><w:pPr><w:spacing w:after="120"/></w:pPr><w:r><w:rPr><w:sz w:val="20"/><w:szCs w:val="20"/></w:rPr><w:t xml:space="preserve">Udkast: Backup af auth/audit-volumet og gendannelsesprocedure fastlægges på målplatformen. Da intet angivelsesindhold gemmes, er gendannelsesbehovet begrænset til brugerkonti og audit-metadata. Referencedata kan altid regenereres fra de officielle kilder.</w:t></w:r></w:p><w:p><w:pPr><w:spacing w:after="120" w:before="280"/></w:pPr><w:r><w:rPr><w:b/><w:bCs/><w:color w:val="1B365D"/><w:sz w:val="26"/><w:szCs w:val="26"/></w:rPr><w:t xml:space="preserve">6. Roller og ansvar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"/><w:gridCol w:w="70"/></w:tblGrid><w:tr><w:trPr><w:tblHeader/></w:trPr><w:tc><w:tcPr><w:tcW w:type="dxa" w:w="30"/><w:shd w:fill="1B365D" w:color="auto" w:val="clear"/><w:tcMar><w:top w:type="dxa" w:w="60"/><w:left w:type="dxa" w:w="90"/><w:bottom w:type="dxa" w:w="60"/><w:right w:type="dxa" w:w="90"/></w:tcMar></w:tcPr><w:p><w:r><w:rPr><w:b/><w:bCs/><w:color w:val="FFFFFF"/><w:sz w:val="18"/><w:szCs w:val="18"/></w:rPr><w:t xml:space="preserve">Rolle</w:t></w:r></w:p></w:tc><w:tc><w:tcPr><w:tcW w:type="dxa" w:w="70"/><w:shd w:fill="1B365D" w:color="auto" w:val="clear"/><w:tcMar><w:top w:type="dxa" w:w="60"/><w:left w:type="dxa" w:w="90"/><w:bottom w:type="dxa" w:w="60"/><w:right w:type="dxa" w:w="90"/></w:tcMar></w:tcPr><w:p><w:r><w:rPr><w:b/><w:bCs/><w:color w:val="FFFFFF"/><w:sz w:val="18"/><w:szCs w:val="18"/></w:rPr><w:t xml:space="preserve">Ansvar</w:t></w:r></w:p></w:tc></w:tr><w:tr><w:tc><w:tcPr><w:tcW w:type="dxa" w:w="3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Udvikling (Bal AI)</w:t></w:r></w:p></w:tc><w:tc><w:tcPr><w:tcW w:type="dxa" w:w="7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Kode, tests, regelkatalog, referencedata-sync, deploy</w:t></w:r></w:p></w:tc></w:tr><w:tr><w:tc><w:tcPr><w:tcW w:type="dxa" w:w="3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Drift / platform</w:t></w:r></w:p></w:tc><w:tc><w:tcPr><w:tcW w:type="dxa" w:w="7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Hosting, volumen, region/EU-residency, backup</w:t></w:r></w:p></w:tc></w:tr><w:tr><w:tc><w:tcPr><w:tcW w:type="dxa" w:w="3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EY tool-governance</w:t></w:r></w:p></w:tc><w:tc><w:tcPr><w:tcW w:type="dxa" w:w="7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Godkendelse, platformsvalg, support-model</w:t></w:r></w:p></w:tc></w:tr><w:tr><w:tc><w:tcPr><w:tcW w:type="dxa" w:w="3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Jura / DPO</w:t></w:r></w:p></w:tc><w:tc><w:tcPr><w:tcW w:type="dxa" w:w="7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Behandlingsgrundlag, DPA, dataplacering</w:t></w:r></w:p></w:tc></w:tr></w:tbl><w:p><w:pPr><w:spacing w:after="120" w:before="280"/></w:pPr><w:r><w:rPr><w:b/><w:bCs/><w:color w:val="1B365D"/><w:sz w:val="26"/><w:szCs w:val="26"/></w:rPr><w:t xml:space="preserve">7. Support og vedligehold</w:t></w:r></w:p><w:p><w:pPr><w:spacing w:after="120"/></w:pPr><w:r><w:rPr><w:sz w:val="20"/><w:szCs w:val="20"/></w:rPr><w:t xml:space="preserve">Udkast: SLA, support-bemanding og vedligeholdelsesvinduer er en organisatorisk beslutning ved EY-flytning. Vedligehold af tarif-motoren er automatiseret (månedlig sync med selvtjek).</w:t></w:r></w:p><w:sectPr><w:pgSz w:w="11906" w:h="16838" w:orient="portrait"/><w:pgMar w:top="1134" w:right="1134" w:bottom="1134" w:left="1134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2026-07-01T08:35:21.366Z</dcterms:created>
  <dcterms:modified xsi:type="dcterms:W3CDTF">2026-07-01T08:35:21.366Z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