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1200"/></w:pPr><w:r><w:rPr><w:b/><w:bCs/><w:color w:val="1B365D"/><w:sz w:val="52"/><w:szCs w:val="52"/></w:rPr><w:t xml:space="preserve">Customs Analytics</w:t></w:r></w:p><w:p><w:pPr><w:spacing w:after="200"/></w:pPr><w:r><w:rPr><w:color w:val="2E5C8A"/><w:sz w:val="30"/><w:szCs w:val="30"/></w:rPr><w:t xml:space="preserve">Løsnings- og arkitekturbeskrivelse</w:t></w:r></w:p><w:p><w:pPr><w:spacing w:after="120"/></w:pPr><w:r><w:rPr><w:sz w:val="20"/><w:szCs w:val="20"/></w:rPr><w:t xml:space="preserve">Bal AI · told- og importanalyse af danske DMS/WCO-importdata</w:t></w:r></w:p><w:p><w:pPr><w:spacing w:after="120"/></w:pPr><w:r><w:rPr><w:sz w:val="20"/><w:szCs w:val="20"/></w:rPr><w:t xml:space="preserve">Version 0.2.0 · 1. juli 2026</w:t></w:r></w:p><w:p><w:pPr><w:spacing w:before="200"/></w:pPr><w:r><w:rPr><w:i/><w:iCs/><w:color w:val="666666"/><w:sz w:val="18"/><w:szCs w:val="18"/></w:rPr><w:t xml:space="preserve">Klassifikation: Fortroligt — internt. Kun privat repo og EY-godkendte systemer.</w:t></w:r></w:p><w:p><w:r><w:br w:type="page"/></w:r></w:p><w:p><w:pPr><w:spacing w:after="120" w:before="280"/></w:pPr><w:r><w:rPr><w:b/><w:bCs/><w:color w:val="1B365D"/><w:sz w:val="26"/><w:szCs w:val="26"/></w:rPr><w:t xml:space="preserve">1. Formål og afgrænsning</w:t></w:r></w:p><w:p><w:pPr><w:spacing w:after="120"/></w:pPr><w:r><w:rPr><w:sz w:val="20"/><w:szCs w:val="20"/></w:rPr><w:t xml:space="preserve">Customs Analytics analyserer danske importangivelser og giver told-/importanalyse plus told-faglige kontroller. Det er et ANALYSE- og KONTROLVÆRKTØJ, ikke et toldangivelsessystem: det indsender ikke angivelser og ændrer aldrig den uploadede angivelse — det analyserer og rapporterer. Oprindelsesvurdering (om en vare opfylder oprindelsesreglerne) ligger bevidst uden for scope; det er klarererens/leverandørens ansvar.</w:t></w:r></w:p><w:p><w:pPr><w:spacing w:after="120" w:before="280"/></w:pPr><w:r><w:rPr><w:b/><w:bCs/><w:color w:val="1B365D"/><w:sz w:val="26"/><w:szCs w:val="26"/></w:rPr><w:t xml:space="preserve">2. Teknologistack</w:t></w:r></w:p><0/><w:p><w:pPr><w:spacing w:after="120" w:before="280"/></w:pPr><w:r><w:rPr><w:b/><w:bCs/><w:color w:val="1B365D"/><w:sz w:val="26"/><w:szCs w:val="26"/></w:rPr><w:t xml:space="preserve">3. Arkitektur</w:t></w:r></w:p><w:p><w:pPr><w:spacing w:after="120"/></w:pPr><w:r><w:rPr><w:sz w:val="20"/><w:szCs w:val="20"/></w:rPr><w:t xml:space="preserve">Al forretningslogik ligger i den testbare pakke customs/ (schema, parsers, analytics, tariff, duty_checks, classification, sanity), der kan køres uden web-lag og uden netværk. app.py er kun web-laget: ruter, upload-dispatch, JSON-API. Samme referencearkitektur som SAF-T og VIES.</w:t></w:r></w:p><w:p><w:pPr><w:spacing w:after="120" w:before="280"/></w:pPr><w:r><w:rPr><w:b/><w:bCs/><w:color w:val="1B365D"/><w:sz w:val="26"/><w:szCs w:val="26"/></w:rPr><w:t xml:space="preserve">4. Dataflow</w:t></w:r></w:p><0/><w:p><w:pPr><w:spacing w:after="120" w:before="280"/></w:pPr><w:r><w:rPr><w:b/><w:bCs/><w:color w:val="1B365D"/><w:sz w:val="26"/><w:szCs w:val="26"/></w:rPr><w:t xml:space="preserve">5. Kontrol- og analysemodel (5 lag)</w:t></w:r></w:p><w:p><w:pPr><w:spacing w:after="120"/></w:pPr><w:r><w:rPr><w:sz w:val="20"/><w:szCs w:val="20"/></w:rPr><w:t xml:space="preserve">Kontrollerne er katalogiseret i 5 lag i det versionerede regelkatalog (customs/rules/Customs-Validation-Rules.json). Hver kontrol er forankret i en autoritativ kilde og mappet til modul + test (se sporbarhedsmatrixen).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"/><w:gridCol w:w="36"/><w:gridCol w:w="34"/></w:tblGrid><w:tr><w:trPr><w:tblHeader/></w:trPr><w:tc><w:tcPr><w:tcW w:type="dxa" w:w="30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Lag</w:t></w:r></w:p></w:tc><w:tc><w:tcPr><w:tcW w:type="dxa" w:w="36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Fokus</w:t></w:r></w:p></w:tc><w:tc><w:tcPr><w:tcW w:type="dxa" w:w="34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Kontroller</w:t></w:r></w:p></w:tc></w:tr><w:tr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1 · Struktur &amp; format</w:t></w:r></w:p></w:tc><w:tc><w:tcPr><w:tcW w:type="dxa" w:w="3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Varekode, procedurekode, XML-struktur</w:t></w:r></w:p></w:tc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CUS-H01, CUS-C01, CUS-X01 (XSD)</w:t></w:r></w:p></w:tc></w:tr><w:tr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2 · Intern konsistens</w:t></w:r></w:p></w:tc><w:tc><w:tcPr><w:tcW w:type="dxa" w:w="3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Vægt- og værditotaler</w:t></w:r></w:p></w:tc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CUS-W01, CUS-W02, CUS-V01 (+ planlagt CUS-V02)</w:t></w:r></w:p></w:tc></w:tr><w:tr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3 · Oprindelse &amp; præference-krav</w:t></w:r></w:p></w:tc><w:tc><w:tcPr><w:tcW w:type="dxa" w:w="3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Oprindelse, præference-fuldstændighed</w:t></w:r></w:p></w:tc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CUS-O01, CUS-P01</w:t></w:r></w:p></w:tc></w:tr><w:tr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4 · Tarifering &amp; told</w:t></w:r></w:p></w:tc><w:tc><w:tcPr><w:tcW w:type="dxa" w:w="3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FTA-mulighed, ugyldig præference, EDR</w:t></w:r></w:p></w:tc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CUS-P02, CUS-P03, CUS-E01 (+ planlagt CUS-AD01, CUS-E02)</w:t></w:r></w:p></w:tc></w:tr><w:tr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5 · Klassifikation</w:t></w:r></w:p></w:tc><w:tc><w:tcPr><w:tcW w:type="dxa" w:w="3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Konsistens i HS-kodning</w:t></w:r></w:p></w:tc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CUS-K01 (eksakt), CUS-K02 (fuzzy)</w:t></w:r></w:p></w:tc></w:tr></w:tbl><w:p><w:pPr><w:spacing w:after="80" w:before="180"/></w:pPr><w:r><w:rPr><w:b/><w:bCs/><w:color w:val="2E5C8A"/><w:sz w:val="22"/><w:szCs w:val="22"/></w:rPr><w:t xml:space="preserve">Analyse-dashboards</w:t></w:r></w:p><w:p><w:pPr><w:spacing w:after="120"/></w:pPr><w:r><w:rPr><w:sz w:val="20"/><w:szCs w:val="20"/></w:rPr><w:t xml:space="preserve">Kernen i værktøjet er syv analysesider, der belyser importporteføljen: Oversigt (toldværdi, told, effektiv toldsats, verdenskort og udvikling over tid), Leverandører, Sourcing (pr. oprindelsesland og HS-kode), Procedurekoder, Transport, FTA-muligheder (uudnyttet præference) og Klassifikation (samme vare på forskellige HS-koder).</w:t></w:r></w:p><w:p><w:pPr><w:spacing w:after="80" w:before="180"/></w:pPr><w:r><w:rPr><w:b/><w:bCs/><w:color w:val="2E5C8A"/><w:sz w:val="22"/><w:szCs w:val="22"/></w:rPr><w:t xml:space="preserve">Risici &amp; muligheder (konsolideret analyse)</w:t></w:r></w:p><w:p><w:pPr><w:spacing w:after="120"/></w:pPr><w:r><w:rPr><w:sz w:val="20"/><w:szCs w:val="20"/></w:rPr><w:t xml:space="preserve">customs/risk_analysis.py samler porteføljens optimerings- og risikosignaler til én oversigt: besparelsespotentiale (uudnyttet FTA), toldrisiko (påberåbte præferencer uden kendt aftale — told der kan kræves), fejlklassificering og EDR-anomalier (vareposter hvor faktisk effektiv toldsats afviger væsentligt fra forventet, beløbsvægtet). Præsenteres som porteføljetal plus en prioriteret, beløbssorteret liste.</w:t></w:r></w:p><w:p><w:pPr><w:spacing w:after="120"/></w:pPr><w:r><w:rPr><w:sz w:val="20"/><w:szCs w:val="20"/></w:rPr><w:t xml:space="preserve">Vigtigt: dette er en ANALYSE på tværs af en portefølje af tolddata — trends, risici og optimeringsmuligheder — ikke en godkendt/afvist-vurdering af en enkelt angivelse. Regelkataloget dokumenterer de underliggende tjek; det driver ingen compliance-dom.</w:t></w:r></w:p><w:p><w:pPr><w:spacing w:after="120" w:before="280"/></w:pPr><w:r><w:rPr><w:b/><w:bCs/><w:color w:val="1B365D"/><w:sz w:val="26"/><w:szCs w:val="26"/></w:rPr><w:t xml:space="preserve">6. Told- og tariferingsmotor</w:t></w:r></w:p><w:p><w:pPr><w:spacing w:after="120"/></w:pPr><w:r><w:rPr><w:sz w:val="20"/><w:szCs w:val="20"/></w:rPr><w:t xml:space="preserve">customs/tariff.py slår op HS × oprindelse × dato → MFN-sats / præferencesats / aftale. Motoren er DATO-BEVIDST (temporal): en nyere frihandelsaftale lægges ikke ned over en ældre transaktion; gruppemedlemskab (fx GSP-graduering) opløses på importdatoen. Measures arver fra forælderkoden (kode-arv 10→8→6→4→2 cifre). Toldunioner (measureType 106) er medtaget; præferencetoldkontingenter (143/146/147) markeres som kvote.</w:t></w:r></w:p><w:p><w:pPr><w:spacing w:after="120" w:before="280"/></w:pPr><w:r><w:rPr><w:b/><w:bCs/><w:color w:val="1B365D"/><w:sz w:val="26"/><w:szCs w:val="26"/></w:rPr><w:t xml:space="preserve">7. Referencedata og provenance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4"/><w:gridCol w:w="36"/><w:gridCol w:w="30"/></w:tblGrid><w:tr><w:trPr><w:tblHeader/></w:trPr><w:tc><w:tcPr><w:tcW w:type="dxa" w:w="34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Kilde</w:t></w:r></w:p></w:tc><w:tc><w:tcPr><w:tcW w:type="dxa" w:w="36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Indhold</w:t></w:r></w:p></w:tc><w:tc><w:tcPr><w:tcW w:type="dxa" w:w="30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Mekanisme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Toldstyrelsen — skat/dms-public</w:t></w:r></w:p></w:tc><w:tc><w:tcPr><w:tcW w:type="dxa" w:w="3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H1/I1-XSD&apos;er, kodelister, datamodel</w:t></w:r></w:p></w:tc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Vendret i reference/ med kilde-commit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TARIC eVita-toldtarif (Skattestyrelsen)</w:t></w:r></w:p></w:tc><w:tc><w:tcPr><w:tcW w:type="dxa" w:w="3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MFN-satser + danske varebeskrivelser</w:t></w:r></w:p></w:tc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toldtarif_ext.zip → reference/tariff/mfn_rates.csv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TARIC Trader Export Total</w:t></w:r></w:p></w:tc><w:tc><w:tcPr><w:tcW w:type="dxa" w:w="3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Præferencesatser pr. HS×område (temporal)</w:t></w:r></w:p></w:tc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→ preferential_rates.csv + geo_areas.json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EU Access2Markets</w:t></w:r></w:p></w:tc><w:tc><w:tcPr><w:tcW w:type="dxa" w:w="3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FTA-/GSP-/EPA-/toldunions-dækning</w:t></w:r></w:p></w:tc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Manuelt krydstjekket (2026-06-17)</w:t></w:r></w:p></w:tc></w:tr></w:tbl><w:p><w:pPr><w:spacing w:after="120"/></w:pPr><w:r><w:rPr><w:sz w:val="20"/><w:szCs w:val="20"/></w:rPr><w:t xml:space="preserve">Referencedata holdes friske automatisk: tools/update_tariff.sh + en månedlig GitHub Action, med pytest som selvtjek der fanger format-ændringer (samme mønster som SAF-T&apos;s ERST-sync).</w:t></w:r></w:p><w:p><w:pPr><w:spacing w:after="120" w:before="280"/></w:pPr><w:r><w:rPr><w:b/><w:bCs/><w:color w:val="1B365D"/><w:sz w:val="26"/><w:szCs w:val="26"/></w:rPr><w:t xml:space="preserve">8. Kvalitetssikring</w:t></w:r></w:p><0/><w:p><w:pPr><w:spacing w:after="120" w:before="280"/></w:pPr><w:r><w:rPr><w:b/><w:bCs/><w:color w:val="1B365D"/><w:sz w:val="26"/><w:szCs w:val="26"/></w:rPr><w:t xml:space="preserve">9. Ændringsstyring</w:t></w:r></w:p><w:p><w:pPr><w:spacing w:after="120"/></w:pPr><w:r><w:rPr><w:sz w:val="20"/><w:szCs w:val="20"/></w:rPr><w:t xml:space="preserve">Ny/ændret kontrol → opdatér regelkataloget, bump catalog_version, opdatér valideringssuite + matrix + CHANGELOG. Kataloget og suiten er sporbarheds- og CI-porten.</w:t></w:r></w:p><w:p><w:pPr><w:spacing w:after="120" w:before="280"/></w:pPr><w:r><w:rPr><w:b/><w:bCs/><w:color w:val="1B365D"/><w:sz w:val="26"/><w:szCs w:val="26"/></w:rPr><w:t xml:space="preserve">10. Hosting</w:t></w:r></w:p><w:p><w:pPr><w:spacing w:after="120"/></w:pPr><w:r><w:rPr><w:sz w:val="20"/><w:szCs w:val="20"/></w:rPr><w:t xml:space="preserve">Deployes p.t. på Railway (customs.balai.dk). Værktøjet er platform-agnostisk (WSGI) og klar til flytning til EY-platform. Detaljer i Hosting- og driftsdokumentet.</w:t></w:r></w:p><w:p><w:pPr><w:spacing w:after="120" w:before="280"/></w:pPr><w:r><w:rPr><w:b/><w:bCs/><w:color w:val="1B365D"/><w:sz w:val="26"/><w:szCs w:val="26"/></w:rPr><w:t xml:space="preserve">11. Begrænsninger</w:t></w:r></w:p><0/><w:p><w:pPr><w:spacing w:after="120" w:before="280"/></w:pPr><w:r><w:rPr><w:b/><w:bCs/><w:color w:val="1B365D"/><w:sz w:val="26"/><w:szCs w:val="26"/></w:rPr><w:t xml:space="preserve">12. Åbne punkter for godkendelse</w:t></w:r></w:p><0/><w:p><w:r><w:br w:type="page"/></w:r></w:p><w:p><w:pPr><w:spacing w:after="120" w:before="280"/></w:pPr><w:r><w:rPr><w:b/><w:bCs/><w:color w:val="1B365D"/><w:sz w:val="26"/><w:szCs w:val="26"/></w:rPr><w:t xml:space="preserve">Appendiks A — Modulinventar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4"/><w:gridCol w:w="66"/></w:tblGrid><w:tr><w:trPr><w:tblHeader/></w:trPr><w:tc><w:tcPr><w:tcW w:type="dxa" w:w="34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Modul</w:t></w:r></w:p></w:tc><w:tc><w:tcPr><w:tcW w:type="dxa" w:w="66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Ansvar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customs/schema.py</w:t></w:r></w:p></w:tc><w:tc><w:tcPr><w:tcW w:type="dxa" w:w="6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Kanonisk datamodel (Declaration, GoodsItem, DutyLine, Party)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customs/parsers/</w:t></w:r></w:p></w:tc><w:tc><w:tcPr><w:tcW w:type="dxa" w:w="6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WCO DMS-XML, legacy SAD-PDF, Excel/CSV → kanonisk model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customs/analytics.py</w:t></w:r></w:p></w:tc><w:tc><w:tcPr><w:tcW w:type="dxa" w:w="6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Imports/Supplier/Sourcing/CPC/Transport-aggregater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customs/tariff.py</w:t></w:r></w:p></w:tc><w:tc><w:tcPr><w:tcW w:type="dxa" w:w="6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Temporal HS×oprindelse-opslag (MFN/præference/aftale)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customs/duty_checks.py</w:t></w:r></w:p></w:tc><w:tc><w:tcPr><w:tcW w:type="dxa" w:w="6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CUS-P02/P03/E01 + FTA Opportunities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customs/classification.py</w:t></w:r></w:p></w:tc><w:tc><w:tcPr><w:tcW w:type="dxa" w:w="6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CUS-K01 (eksakt) + CUS-K02 (fuzzy)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customs/risk_analysis.py</w:t></w:r></w:p></w:tc><w:tc><w:tcPr><w:tcW w:type="dxa" w:w="6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Konsolideret risiko/mulighed-analyse + EDR-anomalier (porteføljetal)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customs/sanity.py</w:t></w:r></w:p></w:tc><w:tc><w:tcPr><w:tcW w:type="dxa" w:w="6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Struktur-/konsistens-kontroller (CUS-W/H/C/V/O/P01)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customs/xsd_validation.py</w:t></w:r></w:p></w:tc><w:tc><w:tcPr><w:tcW w:type="dxa" w:w="6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XSD-strukturvalidering af DMS-XML (CUS-X01)</w:t></w:r></w:p></w:tc></w:tr><w:tr><w:tc><w:tcPr><w:tcW w:type="dxa" w:w="3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validation/</w:t></w:r></w:p></w:tc><w:tc><w:tcPr><w:tcW w:type="dxa" w:w="6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Uafhængig valideringssuite + rapportgenerator</w:t></w:r></w:p></w:tc></w:tr></w:tbl><w:p><w:pPr><w:spacing w:after="120" w:before="280"/></w:pPr><w:r><w:rPr><w:b/><w:bCs/><w:color w:val="1B365D"/><w:sz w:val="26"/><w:szCs w:val="26"/></w:rPr><w:t xml:space="preserve">Appendiks B — Ordliste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"/><w:gridCol w:w="74"/></w:tblGrid><w:tr><w:trPr><w:tblHeader/></w:trPr><w:tc><w:tcPr><w:tcW w:type="dxa" w:w="26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Term</w:t></w:r></w:p></w:tc><w:tc><w:tcPr><w:tcW w:type="dxa" w:w="74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Forklaring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DMS / WCO DMS-XML</w:t></w:r></w:p></w:tc><w:tc><w:tcPr><w:tcW w:type="dxa" w:w="7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Danmarks toldangivelsessystem; WCO Data Model XML er udvekslingsformatet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MFN</w:t></w:r></w:p></w:tc><w:tc><w:tcPr><w:tcW w:type="dxa" w:w="7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Most Favoured Nation — tredjelandstoldsatsen uden præference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EDR</w:t></w:r></w:p></w:tc><w:tc><w:tcPr><w:tcW w:type="dxa" w:w="7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Effektiv toldsats = told ÷ toldværdi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FTA / GSP / EPA</w:t></w:r></w:p></w:tc><w:tc><w:tcPr><w:tcW w:type="dxa" w:w="7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Frihandelsaftale / præferenceordning for udviklingslande / økonomisk partnerskabsaftale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TARIC</w:t></w:r></w:p></w:tc><w:tc><w:tcPr><w:tcW w:type="dxa" w:w="7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EU&apos;s integrerede tarif — satser, præferencer, foranstaltninger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DutyRegimeCode</w:t></w:r></w:p></w:tc><w:tc><w:tcPr><w:tcW w:type="dxa" w:w="7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Præferencekode (14 11 001); 100 = ingen præference</w:t></w:r></w:p></w:tc></w:tr></w:tbl><w:sectPr><w:pgSz w:w="11906" w:h="16838" w:orient="portrait"/><w:pgMar w:top="1134" w:right="1134" w:bottom="1134" w:left="113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2026-07-03T09:35:57.796Z</dcterms:created>
  <dcterms:modified xsi:type="dcterms:W3CDTF">2026-07-03T09:35:57.796Z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