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0" w:before="1200"/></w:pPr><w:r><w:rPr><w:b/><w:bCs/><w:color w:val="1B365D"/><w:sz w:val="52"/><w:szCs w:val="52"/></w:rPr><w:t xml:space="preserve">Customs Analytics</w:t></w:r></w:p><w:p><w:pPr><w:spacing w:after="200"/></w:pPr><w:r><w:rPr><w:color w:val="2E5C8A"/><w:sz w:val="30"/><w:szCs w:val="30"/></w:rPr><w:t xml:space="preserve">Godkendelses-overblik</w:t></w:r></w:p><w:p><w:pPr><w:spacing w:after="120"/></w:pPr><w:r><w:rPr><w:sz w:val="20"/><w:szCs w:val="20"/></w:rPr><w:t xml:space="preserve">Bal AI · told- og importanalyse af danske DMS/WCO-importdata</w:t></w:r></w:p><w:p><w:pPr><w:spacing w:after="120"/></w:pPr><w:r><w:rPr><w:sz w:val="20"/><w:szCs w:val="20"/></w:rPr><w:t xml:space="preserve">Version 0.1.0 · 18. juni 2026</w:t></w:r></w:p><w:p><w:pPr><w:spacing w:before="200"/></w:pPr><w:r><w:rPr><w:i/><w:iCs/><w:color w:val="666666"/><w:sz w:val="18"/><w:szCs w:val="18"/></w:rPr><w:t xml:space="preserve">Klassifikation: Fortroligt — internt. Kun privat repo og EY-godkendte systemer.</w:t></w:r></w:p><w:p><w:r><w:br w:type="page"/></w:r></w:p><w:p><w:pPr><w:spacing w:after="120" w:before="280"/></w:pPr><w:r><w:rPr><w:b/><w:bCs/><w:color w:val="1B365D"/><w:sz w:val="26"/><w:szCs w:val="26"/></w:rPr><w:t xml:space="preserve">1. Om dette dokument</w:t></w:r></w:p><w:p><w:pPr><w:spacing w:after="120"/></w:pPr><w:r><w:rPr><w:sz w:val="20"/><w:szCs w:val="20"/></w:rPr><w:t xml:space="preserve">Dette er start-her-dokumentet for Customs Analytics&apos; godkendelsespakke. Det samler hele pakken, viser parathed pr. område (Dækket / Udkast / Åbent) og lister de åbne punkter med næste skridt og ejer. Tag det med til EY&apos;s tool-governance.</w:t></w:r></w:p><w:p><w:pPr><w:spacing w:after="120"/></w:pPr><w:r><w:rPr><w:sz w:val="20"/><w:szCs w:val="20"/></w:rPr><w:t xml:space="preserve">Customs Analytics er det yngste værktøj i porteføljen (efter SAF-T, VIES, VAT Analytics og Data Extract). Rammen her er bevidst identisk med søsterværktøjernes, men flere områder står ærligt som Udkast eller Åbent — det er forventet på dette stadie. Et udfyldt Åbent-felt med næste skridt er bedre end et tomt.</w:t></w:r></w:p><w:p><w:pPr><w:spacing w:after="120" w:before="280"/></w:pPr><w:r><w:rPr><w:b/><w:bCs/><w:color w:val="1B365D"/><w:sz w:val="26"/><w:szCs w:val="26"/></w:rPr><w:t xml:space="preserve">2. Værktøjet kort</w:t></w:r></w:p><w:p><w:pPr><w:spacing w:after="120"/></w:pPr><w:r><w:rPr><w:sz w:val="20"/><w:szCs w:val="20"/></w:rPr><w:t xml:space="preserve">Customs Analytics analyserer danske importangivelser (WCO DMS-XML, gammelt toldsystem via SAD-PDF, samt Excel/CSV). Det giver told- og importanalyse — varebevægelser, oprindelse, effektiv toldsats — plus FTA-besparelsesmuligheder og fejlklassificering, oven på Toldstyrelsens egne TARIC-/tarifdata. Samme arkitektur som SAF-T/VIES: al forretningslogik i en testbar pakke, tyndt web-lag.</w:t></w:r></w:p><w:p><w:pPr><w:spacing w:after="120" w:before="280"/></w:pPr><w:r><w:rPr><w:b/><w:bCs/><w:color w:val="1B365D"/><w:sz w:val="26"/><w:szCs w:val="26"/></w:rPr><w:t xml:space="preserve">3. Parathed pr. område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4"/><w:gridCol w:w="16"/><w:gridCol w:w="40"/></w:tblGrid><w:tr><w:trPr><w:tblHeader/></w:trPr><w:tc><w:tcPr><w:tcW w:type="dxa" w:w="44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Område</w:t></w:r></w:p></w:tc><w:tc><w:tcPr><w:tcW w:type="dxa" w:w="16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Status</w:t></w:r></w:p></w:tc><w:tc><w:tcPr><w:tcW w:type="dxa" w:w="40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Bemærkning</w:t></w:r></w:p></w:tc></w:tr><w:tr><w:tc><w:tcPr><w:tcW w:type="dxa" w:w="4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Kanonisk datamodel + WCO DMS-XML-parser</w:t></w:r></w:p></w:tc><w:tc><w:tcPr><w:tcW w:type="dxa" w:w="1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Dækket</w:t></w:r></w:p></w:tc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customs/schema.py + customs/parsers/ (XXE slået fra)</w:t></w:r></w:p></w:tc></w:tr><w:tr><w:tc><w:tcPr><w:tcW w:type="dxa" w:w="4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Analyselag (dashboards)</w:t></w:r></w:p></w:tc><w:tc><w:tcPr><w:tcW w:type="dxa" w:w="1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Dækket</w:t></w:r></w:p></w:tc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customs/analytics.py — 7 faner, verificeret visuelt</w:t></w:r></w:p></w:tc></w:tr><w:tr><w:tc><w:tcPr><w:tcW w:type="dxa" w:w="4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Told- og tariferingsmotor (TARIC/eVita, temporal)</w:t></w:r></w:p></w:tc><w:tc><w:tcPr><w:tcW w:type="dxa" w:w="1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Dækket</w:t></w:r></w:p></w:tc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customs/tariff.py — MFN + præferencer, dato-bevidst opslag</w:t></w:r></w:p></w:tc></w:tr><w:tr><w:tc><w:tcPr><w:tcW w:type="dxa" w:w="4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Klassifikationslag (eksakt + fuzzy)</w:t></w:r></w:p></w:tc><w:tc><w:tcPr><w:tcW w:type="dxa" w:w="1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Dækket</w:t></w:r></w:p></w:tc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customs/classification.py — dependency-frit</w:t></w:r></w:p></w:tc></w:tr><w:tr><w:tc><w:tcPr><w:tcW w:type="dxa" w:w="4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Versioneret regelkatalog</w:t></w:r></w:p></w:tc><w:tc><w:tcPr><w:tcW w:type="dxa" w:w="1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Dækket</w:t></w:r></w:p></w:tc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customs/rules/Customs-Validation-Rules.json v0.1.0 (ny)</w:t></w:r></w:p></w:tc></w:tr><w:tr><w:tc><w:tcPr><w:tcW w:type="dxa" w:w="4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Regel-sporbarhedsmatrix</w:t></w:r></w:p></w:tc><w:tc><w:tcPr><w:tcW w:type="dxa" w:w="1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Dækket</w:t></w:r></w:p></w:tc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docs/...Regel-sporbarhedsmatrix.xlsx (ny, genereret)</w:t></w:r></w:p></w:tc></w:tr><w:tr><w:tc><w:tcPr><w:tcW w:type="dxa" w:w="4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Uafhængig valideringssuite</w:t></w:r></w:p></w:tc><w:tc><w:tcPr><w:tcW w:type="dxa" w:w="1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Dækket</w:t></w:r></w:p></w:tc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validation/ — 12 kontroller, plantet defekt pr. kontrol, gated i pytest (ny)</w:t></w:r></w:p></w:tc></w:tr><w:tr><w:tc><w:tcPr><w:tcW w:type="dxa" w:w="4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Automatiseret testsuite</w:t></w:r></w:p></w:tc><w:tc><w:tcPr><w:tcW w:type="dxa" w:w="1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Dækket</w:t></w:r></w:p></w:tc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tests/ — kører uden netværk</w:t></w:r></w:p></w:tc></w:tr><w:tr><w:tc><w:tcPr><w:tcW w:type="dxa" w:w="4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Datapolitik (in-memory, intet gemmes)</w:t></w:r></w:p></w:tc><w:tc><w:tcPr><w:tcW w:type="dxa" w:w="1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Dækket</w:t></w:r></w:p></w:tc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Upload parses i hukommelsen; kun auth/audit på volume</w:t></w:r></w:p></w:tc></w:tr><w:tr><w:tc><w:tcPr><w:tcW w:type="dxa" w:w="4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Adgangskontrol (login/auth)</w:t></w:r></w:p></w:tc><w:tc><w:tcPr><w:tcW w:type="dxa" w:w="1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Dækket</w:t></w:r></w:p></w:tc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Lokal auth.py (pbkdf2, CSRF, rate-limit, persistent volume)</w:t></w:r></w:p></w:tc></w:tr><w:tr><w:tc><w:tcPr><w:tcW w:type="dxa" w:w="4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Sikkerheds- og databehandlingsdoc</w:t></w:r></w:p></w:tc><w:tc><w:tcPr><w:tcW w:type="dxa" w:w="1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Udkast</w:t></w:r></w:p></w:tc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Skal review&apos;es af jura/databeskyttelse</w:t></w:r></w:p></w:tc></w:tr><w:tr><w:tc><w:tcPr><w:tcW w:type="dxa" w:w="4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Hosting- og driftsdoc</w:t></w:r></w:p></w:tc><w:tc><w:tcPr><w:tcW w:type="dxa" w:w="1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Udkast</w:t></w:r></w:p></w:tc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Railway i dag; EY-platform er åben beslutning</w:t></w:r></w:p></w:tc></w:tr><w:tr><w:tc><w:tcPr><w:tcW w:type="dxa" w:w="4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CI (pytest + pip-audit --strict)</w:t></w:r></w:p></w:tc><w:tc><w:tcPr><w:tcW w:type="dxa" w:w="1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Åbent</w:t></w:r></w:p></w:tc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Pipeline ikke opsat endnu</w:t></w:r></w:p></w:tc></w:tr><w:tr><w:tc><w:tcPr><w:tcW w:type="dxa" w:w="4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Central balai_auth-migrering + fælles SECRET_KEY</w:t></w:r></w:p></w:tc><w:tc><w:tcPr><w:tcW w:type="dxa" w:w="1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Åbent</w:t></w:r></w:p></w:tc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Kører i dag eget lokalt auth.py</w:t></w:r></w:p></w:tc></w:tr><w:tr><w:tc><w:tcPr><w:tcW w:type="dxa" w:w="4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EU data-residency (Railway-volume)</w:t></w:r></w:p></w:tc><w:tc><w:tcPr><w:tcW w:type="dxa" w:w="1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Åbent</w:t></w:r></w:p></w:tc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Volume-region skal verificeres/migreres til EU</w:t></w:r></w:p></w:tc></w:tr><w:tr><w:tc><w:tcPr><w:tcW w:type="dxa" w:w="4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Fuld TARIC (anti-dumping/suspension/kvote)</w:t></w:r></w:p></w:tc><w:tc><w:tcPr><w:tcW w:type="dxa" w:w="1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Åbent</w:t></w:r></w:p></w:tc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EDR-tjek bevidst tolerant (gul) indtil da</w:t></w:r></w:p></w:tc></w:tr><w:tr><w:tc><w:tcPr><w:tcW w:type="dxa" w:w="4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Stress-test på rigtige klientdata</w:t></w:r></w:p></w:tc><w:tc><w:tcPr><w:tcW w:type="dxa" w:w="1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Åbent</w:t></w:r></w:p></w:tc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AEO-fuldeksport mangler at blive kørt igennem</w:t></w:r></w:p></w:tc></w:tr><w:tr><w:tc><w:tcPr><w:tcW w:type="dxa" w:w="44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Penetrationstest</w:t></w:r></w:p></w:tc><w:tc><w:tcPr><w:tcW w:type="dxa" w:w="1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Åbent</w:t></w:r></w:p></w:tc><w:tc><w:tcPr><w:tcW w:type="dxa" w:w="40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Ekstern; typiske fund foregrebet (XXE, headers, CSRF)</w:t></w:r></w:p></w:tc></w:tr></w:tbl><w:p><w:pPr><w:spacing w:after="120" w:before="280"/></w:pPr><w:r><w:rPr><w:b/><w:bCs/><w:color w:val="1B365D"/><w:sz w:val="26"/><w:szCs w:val="26"/></w:rPr><w:t xml:space="preserve">4. Åbne punkter — næste skridt og ejer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"/><w:gridCol w:w="56"/><w:gridCol w:w="18"/></w:tblGrid><w:tr><w:trPr><w:tblHeader/></w:trPr><w:tc><w:tcPr><w:tcW w:type="dxa" w:w="26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Punkt</w:t></w:r></w:p></w:tc><w:tc><w:tcPr><w:tcW w:type="dxa" w:w="56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Næste skridt</w:t></w:r></w:p></w:tc><w:tc><w:tcPr><w:tcW w:type="dxa" w:w="18"/><w:shd w:fill="1B365D" w:color="auto" w:val="clear"/><w:tcMar><w:top w:type="dxa" w:w="60"/><w:left w:type="dxa" w:w="90"/><w:bottom w:type="dxa" w:w="60"/><w:right w:type="dxa" w:w="90"/></w:tcMar></w:tcPr><w:p><w:r><w:rPr><w:b/><w:bCs/><w:color w:val="FFFFFF"/><w:sz w:val="18"/><w:szCs w:val="18"/></w:rPr><w:t xml:space="preserve">Ejer</w:t></w:r></w:p></w:tc></w:tr><w:tr><w:tc><w:tcPr><w:tcW w:type="dxa" w:w="2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CI-pipeline</w:t></w:r></w:p></w:tc><w:tc><w:tcPr><w:tcW w:type="dxa" w:w="5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Opsæt .github/workflows/ci.yml: pytest + pip-audit --strict; adskil runtime-/test-deps</w:t></w:r></w:p></w:tc><w:tc><w:tcPr><w:tcW w:type="dxa" w:w="18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Udvikling (Bal)</w:t></w:r></w:p></w:tc></w:tr><w:tr><w:tc><w:tcPr><w:tcW w:type="dxa" w:w="2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Central auth-migrering</w:t></w:r></w:p></w:tc><w:tc><w:tcPr><w:tcW w:type="dxa" w:w="5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Portér til balai_auth-shim; fælles SECRET_KEY; login deles på *.balai.dk</w:t></w:r></w:p></w:tc><w:tc><w:tcPr><w:tcW w:type="dxa" w:w="18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Udvikling / Platform</w:t></w:r></w:p></w:tc></w:tr><w:tr><w:tc><w:tcPr><w:tcW w:type="dxa" w:w="2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EU data-residency</w:t></w:r></w:p></w:tc><w:tc><w:tcPr><w:tcW w:type="dxa" w:w="5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Verificér Railway-volumeregion; migrér US→EU; bekræft AUTH_/AUDIT_DB_PATH</w:t></w:r></w:p></w:tc><w:tc><w:tcPr><w:tcW w:type="dxa" w:w="18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Drift</w:t></w:r></w:p></w:tc></w:tr><w:tr><w:tc><w:tcPr><w:tcW w:type="dxa" w:w="2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Fuld TARIC-sync</w:t></w:r></w:p></w:tc><w:tc><w:tcPr><w:tcW w:type="dxa" w:w="5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Hent DG TAXUD-bulk; tilføj anti-dumping/suspension/kvote; stram EDR til RØD (CUS-E02/AD01)</w:t></w:r></w:p></w:tc><w:tc><w:tcPr><w:tcW w:type="dxa" w:w="18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Udvikling</w:t></w:r></w:p></w:tc></w:tr><w:tr><w:tc><w:tcPr><w:tcW w:type="dxa" w:w="2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Sikkerheds- &amp; databehandlingsdoc</w:t></w:r></w:p></w:tc><w:tc><w:tcPr><w:tcW w:type="dxa" w:w="5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Review + udfyld behandlingsgrundlag, DPA, dataplacering</w:t></w:r></w:p></w:tc><w:tc><w:tcPr><w:tcW w:type="dxa" w:w="18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Jura / DPO</w:t></w:r></w:p></w:tc></w:tr><w:tr><w:tc><w:tcPr><w:tcW w:type="dxa" w:w="2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Hosting (EY-platform)</w:t></w:r></w:p></w:tc><w:tc><w:tcPr><w:tcW w:type="dxa" w:w="5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Beslut målplatform; udfør migrationsplan (WSGI-agnostisk)</w:t></w:r></w:p></w:tc><w:tc><w:tcPr><w:tcW w:type="dxa" w:w="18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EY tool-governance</w:t></w:r></w:p></w:tc></w:tr><w:tr><w:tc><w:tcPr><w:tcW w:type="dxa" w:w="2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Stress-test</w:t></w:r></w:p></w:tc><w:tc><w:tcPr><w:tcW w:type="dxa" w:w="5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Kør reel AEO-fuldeksport igennem; ret driftsfund ved roden</w:t></w:r></w:p></w:tc><w:tc><w:tcPr><w:tcW w:type="dxa" w:w="18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Udvikling + kunde</w:t></w:r></w:p></w:tc></w:tr><w:tr><w:tc><w:tcPr><w:tcW w:type="dxa" w:w="2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Penetrationstest</w:t></w:r></w:p></w:tc><w:tc><w:tcPr><w:tcW w:type="dxa" w:w="56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Ekstern test af det deployede værktøj</w:t></w:r></w:p></w:tc><w:tc><w:tcPr><w:tcW w:type="dxa" w:w="18"/><w:tcMar><w:top w:type="dxa" w:w="60"/><w:left w:type="dxa" w:w="90"/><w:bottom w:type="dxa" w:w="60"/><w:right w:type="dxa" w:w="90"/></w:tcMar></w:tcPr><w:p><w:r><w:rPr><w:b w:val="false"/><w:bCs w:val="false"/><w:color w:val="000000"/><w:sz w:val="18"/><w:szCs w:val="18"/></w:rPr><w:t xml:space="preserve">EY / ekstern</w:t></w:r></w:p></w:tc></w:tr></w:tbl><w:p><w:pPr><w:spacing w:after="120" w:before="280"/></w:pPr><w:r><w:rPr><w:b/><w:bCs/><w:color w:val="1B365D"/><w:sz w:val="26"/><w:szCs w:val="26"/></w:rPr><w:t xml:space="preserve">5. Dokumentpakken</w:t></w:r></w:p><0/><w:p><w:pPr><w:spacing w:after="120" w:before="280"/></w:pPr><w:r><w:rPr><w:b/><w:bCs/><w:color w:val="1B365D"/><w:sz w:val="26"/><w:szCs w:val="26"/></w:rPr><w:t xml:space="preserve">6. Ærlig modenhedsvurdering</w:t></w:r></w:p><w:p><w:pPr><w:spacing w:after="120"/></w:pPr><w:r><w:rPr><w:sz w:val="20"/><w:szCs w:val="20"/></w:rPr><w:t xml:space="preserve">Kerne-funktionaliteten (parser, analyselag, told-/tariferingsmotor på rigtige TARIC-/eVita-data, klassifikation) er på plads og dækket af tests. Det nye i denne runde er governance-rammen: versioneret regelkatalog, sporbarhedsmatrix og en uafhængig valideringssuite, der beviser at hver implementeret kontrol fyrer på sit defekt-scenarie. Det resterende er primært ekstern/governance-arbejde (CI, central auth, EU-residency, hosting, jura, pen-test, stress-test) — listet ovenfor med ejer og næste skridt.</w:t></w:r></w:p><w:sectPr><w:pgSz w:w="11906" w:h="16838" w:orient="portrait"/><w:pgMar w:top="1134" w:right="1134" w:bottom="1134" w:left="1134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2026-06-30T11:57:09.089Z</dcterms:created>
  <dcterms:modified xsi:type="dcterms:W3CDTF">2026-06-30T11:57:09.090Z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