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200"/></w:pPr><w:r><w:rPr><w:b/><w:bCs/><w:color w:val="1B365D"/><w:sz w:val="52"/><w:szCs w:val="52"/></w:rPr><w:t xml:space="preserve">Customs Analytics</w:t></w:r></w:p><w:p><w:pPr><w:spacing w:after="200"/></w:pPr><w:r><w:rPr><w:color w:val="2E5C8A"/><w:sz w:val="30"/><w:szCs w:val="30"/></w:rPr><w:t xml:space="preserve">Sikkerhed og databehandling (Udkast)</w:t></w:r></w:p><w:p><w:pPr><w:spacing w:after="120"/></w:pPr><w:r><w:rPr><w:sz w:val="20"/><w:szCs w:val="20"/></w:rPr><w:t xml:space="preserve">Bal AI · told- og importanalyse af danske DMS/WCO-importdata</w:t></w:r></w:p><w:p><w:pPr><w:spacing w:after="120"/></w:pPr><w:r><w:rPr><w:sz w:val="20"/><w:szCs w:val="20"/></w:rPr><w:t xml:space="preserve">Version 0.1.0 · 18. juni 2026</w:t></w:r></w:p><w:p><w:pPr><w:spacing w:before="200"/></w:pPr><w:r><w:rPr><w:i/><w:iCs/><w:color w:val="666666"/><w:sz w:val="18"/><w:szCs w:val="18"/></w:rPr><w:t xml:space="preserve">Klassifikation: Fortroligt — internt. Kun privat repo og EY-godkendte systemer.</w:t></w:r></w:p><w:p><w:r><w:br w:type="page"/></w:r></w:p><w:p><w:pPr><w:spacing w:after="120"/></w:pPr><w:r><w:rPr><w:sz w:val="20"/><w:szCs w:val="20"/></w:rPr><w:t xml:space="preserve">UDKAST — skal review&apos;es af jura/databeskyttelse og sikkerhed før formel godkendelse.</w:t></w:r></w:p><w:p><w:pPr><w:spacing w:after="120" w:before="280"/></w:pPr><w:r><w:rPr><w:b/><w:bCs/><w:color w:val="1B365D"/><w:sz w:val="26"/><w:szCs w:val="26"/></w:rPr><w:t xml:space="preserve">1. Datakategorier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"/><w:gridCol w:w="44"/><w:gridCol w:w="26"/></w:tblGrid><w:tr><w:trPr><w:tblHeader/></w:trPr><w:tc><w:tcPr><w:tcW w:type="dxa" w:w="3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Kategori</w:t></w:r></w:p></w:tc><w:tc><w:tcPr><w:tcW w:type="dxa" w:w="44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Eksempler</w:t></w:r></w:p></w:tc><w:tc><w:tcPr><w:tcW w:type="dxa" w:w="2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Følsomhed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Importdata (forretningsdata)</w:t></w:r></w:p></w:tc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Varekoder, toldværdier, mængder, told, procedurekoder</w:t></w:r></w:p></w:tc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Forretningsfortroligt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Mulige personoplysninger</w:t></w:r></w:p></w:tc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Klarerer-/importør-navn, EORI/CVR, adresse hvis i angivelsen</w:t></w:r></w:p></w:tc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Personoplysninger (alm.)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Brugerkonti</w:t></w:r></w:p></w:tc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Brugernavn, hashet password (pbkdf2), rolle</w:t></w:r></w:p></w:tc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Personoplysninger (alm.)</w:t></w:r></w:p></w:tc></w:tr><w:tr><w:tc><w:tcPr><w:tcW w:type="dxa" w:w="3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Revisionslog</w:t></w:r></w:p></w:tc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Kun metadata: bruger, filnavn, antal, varighed</w:t></w:r></w:p></w:tc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Metadata (ingen angivelsesindhold)</w:t></w:r></w:p></w:tc></w:tr></w:tbl><w:p><w:pPr><w:spacing w:after="120" w:before="280"/></w:pPr><w:r><w:rPr><w:b/><w:bCs/><w:color w:val="1B365D"/><w:sz w:val="26"/><w:szCs w:val="26"/></w:rPr><w:t xml:space="preserve">2. Dataflow og dataminimering</w:t></w:r></w:p><w:p><w:pPr><w:spacing w:after="120"/></w:pPr><w:r><w:rPr><w:sz w:val="20"/><w:szCs w:val="20"/></w:rPr><w:t xml:space="preserve">Den uploadede fil analyseres UDELUKKENDE i hukommelsen og gemmes ikke på disk; intet resultat persisteres. Kun auth- og audit-databaserne ligger på det persistente volume. Revisionsloggen indeholder kun metadata — aldrig indholdet af en angivelse. Dette er strammere end et arkivværktøj og minimerer eksponeringen af forretnings-/personoplysninger.</w:t></w:r></w:p><w:p><w:pPr><w:spacing w:after="120" w:before="280"/></w:pPr><w:r><w:rPr><w:b/><w:bCs/><w:color w:val="1B365D"/><w:sz w:val="26"/><w:szCs w:val="26"/></w:rPr><w:t xml:space="preserve">3. GDPR og behandlingsgrundlag</w:t></w:r></w:p><w:p><w:pPr><w:spacing w:after="120"/></w:pPr><w:r><w:rPr><w:sz w:val="20"/><w:szCs w:val="20"/></w:rPr><w:t xml:space="preserve">Udkast: Angivelser kan indeholde personoplysninger (navne, EORI/CVR, adresser). Behandlingsgrundlag, evt. databehandleraftale (DPA) med kunden, og dataplacering (EU) skal fastlægges af jura/DPO. Da intet angivelsesindhold gemmes, er opbevaringsfladen minimal; brugerkonti og audit-metadata er den persisterede personoplysning.</w:t></w:r></w:p><w:p><w:pPr><w:spacing w:after="120" w:before="280"/></w:pPr><w:r><w:rPr><w:b/><w:bCs/><w:color w:val="1B365D"/><w:sz w:val="26"/><w:szCs w:val="26"/></w:rPr><w:t xml:space="preserve">4. Adgangskontrol</w:t></w:r></w:p><0/><w:p><w:pPr><w:spacing w:after="120" w:before="280"/></w:pPr><w:r><w:rPr><w:b/><w:bCs/><w:color w:val="1B365D"/><w:sz w:val="26"/><w:szCs w:val="26"/></w:rPr><w:t xml:space="preserve">5. Trusselsmodel (udvalgte)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"/><w:gridCol w:w="60"/></w:tblGrid><w:tr><w:trPr><w:tblHeader/></w:trPr><w:tc><w:tcPr><w:tcW w:type="dxa" w:w="4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Trussel</w:t></w:r></w:p></w:tc><w:tc><w:tcPr><w:tcW w:type="dxa" w:w="6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Modforanstaltning</w:t></w:r></w:p></w:tc></w:tr><w:tr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XXE i XML-parsing</w:t></w:r></w:p></w:tc><w:tc><w:tcPr><w:tcW w:type="dxa" w:w="6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lxml med ekstern entity-opløsning slået fra</w:t></w:r></w:p></w:tc></w:tr><w:tr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SQL-injection</w:t></w:r></w:p></w:tc><w:tc><w:tcPr><w:tcW w:type="dxa" w:w="6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Parameteriserede forespørgsler i auth/audit</w:t></w:r></w:p></w:tc></w:tr><w:tr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Brute force på login</w:t></w:r></w:p></w:tc><w:tc><w:tcPr><w:tcW w:type="dxa" w:w="6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Rate-limit + timing-sikker sammenligning</w:t></w:r></w:p></w:tc></w:tr><w:tr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CSRF</w:t></w:r></w:p></w:tc><w:tc><w:tcPr><w:tcW w:type="dxa" w:w="6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CSRF-token på state-ændrende kald</w:t></w:r></w:p></w:tc></w:tr><w:tr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Lækage af angivelsesdata</w:t></w:r></w:p></w:tc><w:tc><w:tcPr><w:tcW w:type="dxa" w:w="6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In-memory only; intet gemmes; audit kun metadata</w:t></w:r></w:p></w:tc></w:tr><w:tr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Sessionskapring</w:t></w:r></w:p></w:tc><w:tc><w:tcPr><w:tcW w:type="dxa" w:w="6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Secure/HttpOnly/SameSite cookies; SECRET_KEY i env</w:t></w:r></w:p></w:tc></w:tr></w:tbl><w:p><w:pPr><w:spacing w:after="120" w:before="280"/></w:pPr><w:r><w:rPr><w:b/><w:bCs/><w:color w:val="1B365D"/><w:sz w:val="26"/><w:szCs w:val="26"/></w:rPr><w:t xml:space="preserve">6. Underdatabehandlere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"/><w:gridCol w:w="40"/><w:gridCol w:w="32"/></w:tblGrid><w:tr><w:trPr><w:tblHeader/></w:trPr><w:tc><w:tcPr><w:tcW w:type="dxa" w:w="28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Leverandør</w:t></w:r></w:p></w:tc><w:tc><w:tcPr><w:tcW w:type="dxa" w:w="4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Rolle</w:t></w:r></w:p></w:tc><w:tc><w:tcPr><w:tcW w:type="dxa" w:w="32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Status</w:t></w:r></w:p></w:tc></w:tr><w:tr><w:tc><w:tcPr><w:tcW w:type="dxa" w:w="2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Railway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Hosting/drift (dev/demo)</w:t></w:r></w:p></w:tc><w:tc><w:tcPr><w:tcW w:type="dxa" w:w="32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Midlertidig; EU-region skal verificeres</w:t></w:r></w:p></w:tc></w:tr><w:tr><w:tc><w:tcPr><w:tcW w:type="dxa" w:w="2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DanDomain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DNS for balai.dk</w:t></w:r></w:p></w:tc><w:tc><w:tcPr><w:tcW w:type="dxa" w:w="32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Kun DNS, ingen kundedata</w:t></w:r></w:p></w:tc></w:tr></w:tbl><w:p><w:pPr><w:spacing w:after="120" w:before="280"/></w:pPr><w:r><w:rPr><w:b/><w:bCs/><w:color w:val="1B365D"/><w:sz w:val="26"/><w:szCs w:val="26"/></w:rPr><w:t xml:space="preserve">7. Logning og hændelseshåndtering</w:t></w:r></w:p><w:p><w:pPr><w:spacing w:after="120"/></w:pPr><w:r><w:rPr><w:sz w:val="20"/><w:szCs w:val="20"/></w:rPr><w:t xml:space="preserve">Append-only revisionslog med kun metadata (bruger, fil, antal, varighed) — aldrig angivelsesindhold. Hændelseshåndtering (alarmering, incident-proces) fastlægges sammen med driftsplatformen ved EY-flytning.</w:t></w:r></w:p><w:p><w:pPr><w:spacing w:after="120" w:before="280"/></w:pPr><w:r><w:rPr><w:b/><w:bCs/><w:color w:val="1B365D"/><w:sz w:val="26"/><w:szCs w:val="26"/></w:rPr><w:t xml:space="preserve">8. Åbne punkter</w:t></w:r></w:p><0/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2026-06-30T11:57:09.094Z</dcterms:created>
  <dcterms:modified xsi:type="dcterms:W3CDTF">2026-06-30T11:57:09.094Z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