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 standalone="yes"?><w:document mc:Ignorable="w14 w15 wp14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<w:body><w:p><w:pPr><w:spacing w:after="0" w:before="1200"/></w:pPr><w:r><w:rPr><w:b/><w:bCs/><w:color w:val="1B365D"/><w:sz w:val="52"/><w:szCs w:val="52"/></w:rPr><w:t xml:space="preserve">Customs Analytics</w:t></w:r></w:p><w:p><w:pPr><w:spacing w:after="200"/></w:pPr><w:r><w:rPr><w:color w:val="2E5C8A"/><w:sz w:val="30"/><w:szCs w:val="30"/></w:rPr><w:t xml:space="preserve">Løsnings- og arkitekturbeskrivelse</w:t></w:r></w:p><w:p><w:pPr><w:spacing w:after="120"/></w:pPr><w:r><w:rPr><w:sz w:val="20"/><w:szCs w:val="20"/></w:rPr><w:t xml:space="preserve">Bal AI · told- og importanalyse af danske DMS/WCO-importdata</w:t></w:r></w:p><w:p><w:pPr><w:spacing w:after="120"/></w:pPr><w:r><w:rPr><w:sz w:val="20"/><w:szCs w:val="20"/></w:rPr><w:t xml:space="preserve">Version 0.1.0 · 18. juni 2026</w:t></w:r></w:p><w:p><w:pPr><w:spacing w:before="200"/></w:pPr><w:r><w:rPr><w:i/><w:iCs/><w:color w:val="666666"/><w:sz w:val="18"/><w:szCs w:val="18"/></w:rPr><w:t xml:space="preserve">Klassifikation: Fortroligt — internt. Kun privat repo og EY-godkendte systemer.</w:t></w:r></w:p><w:p><w:r><w:br w:type="page"/></w:r></w:p><w:p><w:pPr><w:spacing w:after="120" w:before="280"/></w:pPr><w:r><w:rPr><w:b/><w:bCs/><w:color w:val="1B365D"/><w:sz w:val="26"/><w:szCs w:val="26"/></w:rPr><w:t xml:space="preserve">1. Formål og afgrænsning</w:t></w:r></w:p><w:p><w:pPr><w:spacing w:after="120"/></w:pPr><w:r><w:rPr><w:sz w:val="20"/><w:szCs w:val="20"/></w:rPr><w:t xml:space="preserve">Customs Analytics analyserer danske importangivelser og giver told-/importanalyse plus told-faglige kontroller. Det er et ANALYSE- og KONTROLVÆRKTØJ, ikke et toldangivelsessystem: det indsender ikke angivelser og ændrer aldrig den uploadede angivelse — det analyserer og rapporterer. Oprindelsesvurdering (om en vare opfylder oprindelsesreglerne) ligger bevidst uden for scope; det er klarererens/leverandørens ansvar.</w:t></w:r></w:p><w:p><w:pPr><w:spacing w:after="120" w:before="280"/></w:pPr><w:r><w:rPr><w:b/><w:bCs/><w:color w:val="1B365D"/><w:sz w:val="26"/><w:szCs w:val="26"/></w:rPr><w:t xml:space="preserve">2. Teknologistack</w:t></w:r></w:p><0/><w:p><w:pPr><w:spacing w:after="120" w:before="280"/></w:pPr><w:r><w:rPr><w:b/><w:bCs/><w:color w:val="1B365D"/><w:sz w:val="26"/><w:szCs w:val="26"/></w:rPr><w:t xml:space="preserve">3. Arkitektur</w:t></w:r></w:p><w:p><w:pPr><w:spacing w:after="120"/></w:pPr><w:r><w:rPr><w:sz w:val="20"/><w:szCs w:val="20"/></w:rPr><w:t xml:space="preserve">Al forretningslogik ligger i den testbare pakke customs/ (schema, parsers, analytics, tariff, duty_checks, classification, sanity), der kan køres uden web-lag og uden netværk. app.py er kun web-laget: ruter, upload-dispatch, JSON-API. Samme referencearkitektur som SAF-T og VIES.</w:t></w:r></w:p><w:p><w:pPr><w:spacing w:after="120" w:before="280"/></w:pPr><w:r><w:rPr><w:b/><w:bCs/><w:color w:val="1B365D"/><w:sz w:val="26"/><w:szCs w:val="26"/></w:rPr><w:t xml:space="preserve">4. Dataflow</w:t></w:r></w:p><0/><w:p><w:pPr><w:spacing w:after="120" w:before="280"/></w:pPr><w:r><w:rPr><w:b/><w:bCs/><w:color w:val="1B365D"/><w:sz w:val="26"/><w:szCs w:val="26"/></w:rPr><w:t xml:space="preserve">5. Kontrol- og analysemodel (5 lag)</w:t></w:r></w:p><w:p><w:pPr><w:spacing w:after="120"/></w:pPr><w:r><w:rPr><w:sz w:val="20"/><w:szCs w:val="20"/></w:rPr><w:t xml:space="preserve">Kontrollerne er katalogiseret i 5 lag i det versionerede regelkatalog (customs/rules/Customs-Validation-Rules.json). Hver kontrol er forankret i en autoritativ kilde og mappet til modul + test (se sporbarhedsmatrixen).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30"/><w:gridCol w:w="36"/><w:gridCol w:w="34"/></w:tblGrid><w:tr><w:trPr><w:tblHeader/></w:trPr><w:tc><w:tcPr><w:tcW w:type="dxa" w:w="30"/><w:shd w:fill="1B365D" w:color="auto" w:val="clear"/><w:tcMar><w:top w:type="dxa" w:w="60"/><w:left w:type="dxa" w:w="90"/><w:bottom w:type="dxa" w:w="60"/><w:right w:type="dxa" w:w="90"/></w:tcMar></w:tcPr><w:p><w:r><w:rPr><w:b/><w:bCs/><w:color w:val="FFFFFF"/><w:sz w:val="18"/><w:szCs w:val="18"/></w:rPr><w:t xml:space="preserve">Lag</w:t></w:r></w:p></w:tc><w:tc><w:tcPr><w:tcW w:type="dxa" w:w="36"/><w:shd w:fill="1B365D" w:color="auto" w:val="clear"/><w:tcMar><w:top w:type="dxa" w:w="60"/><w:left w:type="dxa" w:w="90"/><w:bottom w:type="dxa" w:w="60"/><w:right w:type="dxa" w:w="90"/></w:tcMar></w:tcPr><w:p><w:r><w:rPr><w:b/><w:bCs/><w:color w:val="FFFFFF"/><w:sz w:val="18"/><w:szCs w:val="18"/></w:rPr><w:t xml:space="preserve">Fokus</w:t></w:r></w:p></w:tc><w:tc><w:tcPr><w:tcW w:type="dxa" w:w="34"/><w:shd w:fill="1B365D" w:color="auto" w:val="clear"/><w:tcMar><w:top w:type="dxa" w:w="60"/><w:left w:type="dxa" w:w="90"/><w:bottom w:type="dxa" w:w="60"/><w:right w:type="dxa" w:w="90"/></w:tcMar></w:tcPr><w:p><w:r><w:rPr><w:b/><w:bCs/><w:color w:val="FFFFFF"/><w:sz w:val="18"/><w:szCs w:val="18"/></w:rPr><w:t xml:space="preserve">Kontroller</w:t></w:r></w:p></w:tc></w:tr><w:tr><w:tc><w:tcPr><w:tcW w:type="dxa" w:w="30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1 · Struktur &amp; format</w:t></w:r></w:p></w:tc><w:tc><w:tcPr><w:tcW w:type="dxa" w:w="36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Varekode, procedurekode</w:t></w:r></w:p></w:tc><w:tc><w:tcPr><w:tcW w:type="dxa" w:w="34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CUS-H01, CUS-C01 (+ planlagt CUS-X01)</w:t></w:r></w:p></w:tc></w:tr><w:tr><w:tc><w:tcPr><w:tcW w:type="dxa" w:w="30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2 · Intern konsistens</w:t></w:r></w:p></w:tc><w:tc><w:tcPr><w:tcW w:type="dxa" w:w="36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Vægt- og værditotaler</w:t></w:r></w:p></w:tc><w:tc><w:tcPr><w:tcW w:type="dxa" w:w="34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CUS-W01, CUS-W02, CUS-V01 (+ planlagt CUS-V02)</w:t></w:r></w:p></w:tc></w:tr><w:tr><w:tc><w:tcPr><w:tcW w:type="dxa" w:w="30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3 · Oprindelse &amp; præference-krav</w:t></w:r></w:p></w:tc><w:tc><w:tcPr><w:tcW w:type="dxa" w:w="36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Oprindelse, præference-fuldstændighed</w:t></w:r></w:p></w:tc><w:tc><w:tcPr><w:tcW w:type="dxa" w:w="34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CUS-O01, CUS-P01</w:t></w:r></w:p></w:tc></w:tr><w:tr><w:tc><w:tcPr><w:tcW w:type="dxa" w:w="30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4 · Tarifering &amp; told</w:t></w:r></w:p></w:tc><w:tc><w:tcPr><w:tcW w:type="dxa" w:w="36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FTA-mulighed, ugyldig præference, EDR</w:t></w:r></w:p></w:tc><w:tc><w:tcPr><w:tcW w:type="dxa" w:w="34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CUS-P02, CUS-P03, CUS-E01 (+ planlagt CUS-AD01, CUS-E02)</w:t></w:r></w:p></w:tc></w:tr><w:tr><w:tc><w:tcPr><w:tcW w:type="dxa" w:w="30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5 · Klassifikation</w:t></w:r></w:p></w:tc><w:tc><w:tcPr><w:tcW w:type="dxa" w:w="36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Konsistens i HS-kodning</w:t></w:r></w:p></w:tc><w:tc><w:tcPr><w:tcW w:type="dxa" w:w="34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CUS-K01 (eksakt), CUS-K02 (fuzzy)</w:t></w:r></w:p></w:tc></w:tr></w:tbl><w:p><w:pPr><w:spacing w:after="120" w:before="280"/></w:pPr><w:r><w:rPr><w:b/><w:bCs/><w:color w:val="1B365D"/><w:sz w:val="26"/><w:szCs w:val="26"/></w:rPr><w:t xml:space="preserve">6. Told- og tariferingsmotor</w:t></w:r></w:p><w:p><w:pPr><w:spacing w:after="120"/></w:pPr><w:r><w:rPr><w:sz w:val="20"/><w:szCs w:val="20"/></w:rPr><w:t xml:space="preserve">customs/tariff.py slår op HS × oprindelse × dato → MFN-sats / præferencesats / aftale. Motoren er DATO-BEVIDST (temporal): en nyere frihandelsaftale lægges ikke ned over en ældre transaktion; gruppemedlemskab (fx GSP-graduering) opløses på importdatoen. Measures arver fra forælderkoden (kode-arv 10→8→6→4→2 cifre). Toldunioner (measureType 106) er medtaget; præferencetoldkontingenter (143/146/147) markeres som kvote.</w:t></w:r></w:p><w:p><w:pPr><w:spacing w:after="120" w:before="280"/></w:pPr><w:r><w:rPr><w:b/><w:bCs/><w:color w:val="1B365D"/><w:sz w:val="26"/><w:szCs w:val="26"/></w:rPr><w:t xml:space="preserve">7. Referencedata og provenance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34"/><w:gridCol w:w="36"/><w:gridCol w:w="30"/></w:tblGrid><w:tr><w:trPr><w:tblHeader/></w:trPr><w:tc><w:tcPr><w:tcW w:type="dxa" w:w="34"/><w:shd w:fill="1B365D" w:color="auto" w:val="clear"/><w:tcMar><w:top w:type="dxa" w:w="60"/><w:left w:type="dxa" w:w="90"/><w:bottom w:type="dxa" w:w="60"/><w:right w:type="dxa" w:w="90"/></w:tcMar></w:tcPr><w:p><w:r><w:rPr><w:b/><w:bCs/><w:color w:val="FFFFFF"/><w:sz w:val="18"/><w:szCs w:val="18"/></w:rPr><w:t xml:space="preserve">Kilde</w:t></w:r></w:p></w:tc><w:tc><w:tcPr><w:tcW w:type="dxa" w:w="36"/><w:shd w:fill="1B365D" w:color="auto" w:val="clear"/><w:tcMar><w:top w:type="dxa" w:w="60"/><w:left w:type="dxa" w:w="90"/><w:bottom w:type="dxa" w:w="60"/><w:right w:type="dxa" w:w="90"/></w:tcMar></w:tcPr><w:p><w:r><w:rPr><w:b/><w:bCs/><w:color w:val="FFFFFF"/><w:sz w:val="18"/><w:szCs w:val="18"/></w:rPr><w:t xml:space="preserve">Indhold</w:t></w:r></w:p></w:tc><w:tc><w:tcPr><w:tcW w:type="dxa" w:w="30"/><w:shd w:fill="1B365D" w:color="auto" w:val="clear"/><w:tcMar><w:top w:type="dxa" w:w="60"/><w:left w:type="dxa" w:w="90"/><w:bottom w:type="dxa" w:w="60"/><w:right w:type="dxa" w:w="90"/></w:tcMar></w:tcPr><w:p><w:r><w:rPr><w:b/><w:bCs/><w:color w:val="FFFFFF"/><w:sz w:val="18"/><w:szCs w:val="18"/></w:rPr><w:t xml:space="preserve">Mekanisme</w:t></w:r></w:p></w:tc></w:tr><w:tr><w:tc><w:tcPr><w:tcW w:type="dxa" w:w="34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Toldstyrelsen — skat/dms-public</w:t></w:r></w:p></w:tc><w:tc><w:tcPr><w:tcW w:type="dxa" w:w="36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H1/I1-XSD&apos;er, kodelister, datamodel</w:t></w:r></w:p></w:tc><w:tc><w:tcPr><w:tcW w:type="dxa" w:w="30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Vendret i reference/ med kilde-commit</w:t></w:r></w:p></w:tc></w:tr><w:tr><w:tc><w:tcPr><w:tcW w:type="dxa" w:w="34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TARIC eVita-toldtarif (Skattestyrelsen)</w:t></w:r></w:p></w:tc><w:tc><w:tcPr><w:tcW w:type="dxa" w:w="36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MFN-satser + danske varebeskrivelser</w:t></w:r></w:p></w:tc><w:tc><w:tcPr><w:tcW w:type="dxa" w:w="30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toldtarif_ext.zip → reference/tariff/mfn_rates.csv</w:t></w:r></w:p></w:tc></w:tr><w:tr><w:tc><w:tcPr><w:tcW w:type="dxa" w:w="34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TARIC Trader Export Total</w:t></w:r></w:p></w:tc><w:tc><w:tcPr><w:tcW w:type="dxa" w:w="36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Præferencesatser pr. HS×område (temporal)</w:t></w:r></w:p></w:tc><w:tc><w:tcPr><w:tcW w:type="dxa" w:w="30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→ preferential_rates.csv + geo_areas.json</w:t></w:r></w:p></w:tc></w:tr><w:tr><w:tc><w:tcPr><w:tcW w:type="dxa" w:w="34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EU Access2Markets</w:t></w:r></w:p></w:tc><w:tc><w:tcPr><w:tcW w:type="dxa" w:w="36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FTA-/GSP-/EPA-/toldunions-dækning</w:t></w:r></w:p></w:tc><w:tc><w:tcPr><w:tcW w:type="dxa" w:w="30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Manuelt krydstjekket (2026-06-17)</w:t></w:r></w:p></w:tc></w:tr></w:tbl><w:p><w:pPr><w:spacing w:after="120"/></w:pPr><w:r><w:rPr><w:sz w:val="20"/><w:szCs w:val="20"/></w:rPr><w:t xml:space="preserve">Referencedata holdes friske automatisk: tools/update_tariff.sh + en månedlig GitHub Action, med pytest som selvtjek der fanger format-ændringer (samme mønster som SAF-T&apos;s ERST-sync).</w:t></w:r></w:p><w:p><w:pPr><w:spacing w:after="120" w:before="280"/></w:pPr><w:r><w:rPr><w:b/><w:bCs/><w:color w:val="1B365D"/><w:sz w:val="26"/><w:szCs w:val="26"/></w:rPr><w:t xml:space="preserve">8. Kvalitetssikring</w:t></w:r></w:p><0/><w:p><w:pPr><w:spacing w:after="120" w:before="280"/></w:pPr><w:r><w:rPr><w:b/><w:bCs/><w:color w:val="1B365D"/><w:sz w:val="26"/><w:szCs w:val="26"/></w:rPr><w:t xml:space="preserve">9. Ændringsstyring</w:t></w:r></w:p><w:p><w:pPr><w:spacing w:after="120"/></w:pPr><w:r><w:rPr><w:sz w:val="20"/><w:szCs w:val="20"/></w:rPr><w:t xml:space="preserve">Ny/ændret kontrol → opdatér regelkataloget, bump catalog_version, opdatér valideringssuite + matrix + CHANGELOG. Kataloget og suiten er sporbarheds- og CI-porten.</w:t></w:r></w:p><w:p><w:pPr><w:spacing w:after="120" w:before="280"/></w:pPr><w:r><w:rPr><w:b/><w:bCs/><w:color w:val="1B365D"/><w:sz w:val="26"/><w:szCs w:val="26"/></w:rPr><w:t xml:space="preserve">10. Hosting</w:t></w:r></w:p><w:p><w:pPr><w:spacing w:after="120"/></w:pPr><w:r><w:rPr><w:sz w:val="20"/><w:szCs w:val="20"/></w:rPr><w:t xml:space="preserve">Deployes p.t. på Railway (customs.balai.dk). Værktøjet er platform-agnostisk (WSGI) og klar til flytning til EY-platform. Detaljer i Hosting- og driftsdokumentet.</w:t></w:r></w:p><w:p><w:pPr><w:spacing w:after="120" w:before="280"/></w:pPr><w:r><w:rPr><w:b/><w:bCs/><w:color w:val="1B365D"/><w:sz w:val="26"/><w:szCs w:val="26"/></w:rPr><w:t xml:space="preserve">11. Begrænsninger</w:t></w:r></w:p><0/><w:p><w:pPr><w:spacing w:after="120" w:before="280"/></w:pPr><w:r><w:rPr><w:b/><w:bCs/><w:color w:val="1B365D"/><w:sz w:val="26"/><w:szCs w:val="26"/></w:rPr><w:t xml:space="preserve">12. Åbne punkter for godkendelse</w:t></w:r></w:p><0/><w:p><w:r><w:br w:type="page"/></w:r></w:p><w:p><w:pPr><w:spacing w:after="120" w:before="280"/></w:pPr><w:r><w:rPr><w:b/><w:bCs/><w:color w:val="1B365D"/><w:sz w:val="26"/><w:szCs w:val="26"/></w:rPr><w:t xml:space="preserve">Appendiks A — Modulinventar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34"/><w:gridCol w:w="66"/></w:tblGrid><w:tr><w:trPr><w:tblHeader/></w:trPr><w:tc><w:tcPr><w:tcW w:type="dxa" w:w="34"/><w:shd w:fill="1B365D" w:color="auto" w:val="clear"/><w:tcMar><w:top w:type="dxa" w:w="60"/><w:left w:type="dxa" w:w="90"/><w:bottom w:type="dxa" w:w="60"/><w:right w:type="dxa" w:w="90"/></w:tcMar></w:tcPr><w:p><w:r><w:rPr><w:b/><w:bCs/><w:color w:val="FFFFFF"/><w:sz w:val="18"/><w:szCs w:val="18"/></w:rPr><w:t xml:space="preserve">Modul</w:t></w:r></w:p></w:tc><w:tc><w:tcPr><w:tcW w:type="dxa" w:w="66"/><w:shd w:fill="1B365D" w:color="auto" w:val="clear"/><w:tcMar><w:top w:type="dxa" w:w="60"/><w:left w:type="dxa" w:w="90"/><w:bottom w:type="dxa" w:w="60"/><w:right w:type="dxa" w:w="90"/></w:tcMar></w:tcPr><w:p><w:r><w:rPr><w:b/><w:bCs/><w:color w:val="FFFFFF"/><w:sz w:val="18"/><w:szCs w:val="18"/></w:rPr><w:t xml:space="preserve">Ansvar</w:t></w:r></w:p></w:tc></w:tr><w:tr><w:tc><w:tcPr><w:tcW w:type="dxa" w:w="34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customs/schema.py</w:t></w:r></w:p></w:tc><w:tc><w:tcPr><w:tcW w:type="dxa" w:w="66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Kanonisk datamodel (Declaration, GoodsItem, DutyLine, Party)</w:t></w:r></w:p></w:tc></w:tr><w:tr><w:tc><w:tcPr><w:tcW w:type="dxa" w:w="34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customs/parsers/</w:t></w:r></w:p></w:tc><w:tc><w:tcPr><w:tcW w:type="dxa" w:w="66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WCO DMS-XML, legacy SAD-PDF, Excel/CSV → kanonisk model</w:t></w:r></w:p></w:tc></w:tr><w:tr><w:tc><w:tcPr><w:tcW w:type="dxa" w:w="34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customs/analytics.py</w:t></w:r></w:p></w:tc><w:tc><w:tcPr><w:tcW w:type="dxa" w:w="66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Imports/Supplier/Sourcing/CPC/Transport-aggregater</w:t></w:r></w:p></w:tc></w:tr><w:tr><w:tc><w:tcPr><w:tcW w:type="dxa" w:w="34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customs/tariff.py</w:t></w:r></w:p></w:tc><w:tc><w:tcPr><w:tcW w:type="dxa" w:w="66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Temporal HS×oprindelse-opslag (MFN/præference/aftale)</w:t></w:r></w:p></w:tc></w:tr><w:tr><w:tc><w:tcPr><w:tcW w:type="dxa" w:w="34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customs/duty_checks.py</w:t></w:r></w:p></w:tc><w:tc><w:tcPr><w:tcW w:type="dxa" w:w="66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CUS-P02/P03/E01 + FTA Opportunities</w:t></w:r></w:p></w:tc></w:tr><w:tr><w:tc><w:tcPr><w:tcW w:type="dxa" w:w="34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customs/classification.py</w:t></w:r></w:p></w:tc><w:tc><w:tcPr><w:tcW w:type="dxa" w:w="66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CUS-K01 (eksakt) + CUS-K02 (fuzzy)</w:t></w:r></w:p></w:tc></w:tr><w:tr><w:tc><w:tcPr><w:tcW w:type="dxa" w:w="34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customs/sanity.py</w:t></w:r></w:p></w:tc><w:tc><w:tcPr><w:tcW w:type="dxa" w:w="66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Struktur-/konsistens-kontroller (CUS-W/H/C/V/O/P01)</w:t></w:r></w:p></w:tc></w:tr><w:tr><w:tc><w:tcPr><w:tcW w:type="dxa" w:w="34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validation/</w:t></w:r></w:p></w:tc><w:tc><w:tcPr><w:tcW w:type="dxa" w:w="66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Uafhængig valideringssuite + rapportgenerator</w:t></w:r></w:p></w:tc></w:tr></w:tbl><w:p><w:pPr><w:spacing w:after="120" w:before="280"/></w:pPr><w:r><w:rPr><w:b/><w:bCs/><w:color w:val="1B365D"/><w:sz w:val="26"/><w:szCs w:val="26"/></w:rPr><w:t xml:space="preserve">Appendiks B — Ordliste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26"/><w:gridCol w:w="74"/></w:tblGrid><w:tr><w:trPr><w:tblHeader/></w:trPr><w:tc><w:tcPr><w:tcW w:type="dxa" w:w="26"/><w:shd w:fill="1B365D" w:color="auto" w:val="clear"/><w:tcMar><w:top w:type="dxa" w:w="60"/><w:left w:type="dxa" w:w="90"/><w:bottom w:type="dxa" w:w="60"/><w:right w:type="dxa" w:w="90"/></w:tcMar></w:tcPr><w:p><w:r><w:rPr><w:b/><w:bCs/><w:color w:val="FFFFFF"/><w:sz w:val="18"/><w:szCs w:val="18"/></w:rPr><w:t xml:space="preserve">Term</w:t></w:r></w:p></w:tc><w:tc><w:tcPr><w:tcW w:type="dxa" w:w="74"/><w:shd w:fill="1B365D" w:color="auto" w:val="clear"/><w:tcMar><w:top w:type="dxa" w:w="60"/><w:left w:type="dxa" w:w="90"/><w:bottom w:type="dxa" w:w="60"/><w:right w:type="dxa" w:w="90"/></w:tcMar></w:tcPr><w:p><w:r><w:rPr><w:b/><w:bCs/><w:color w:val="FFFFFF"/><w:sz w:val="18"/><w:szCs w:val="18"/></w:rPr><w:t xml:space="preserve">Forklaring</w:t></w:r></w:p></w:tc></w:tr><w:tr><w:tc><w:tcPr><w:tcW w:type="dxa" w:w="26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DMS / WCO DMS-XML</w:t></w:r></w:p></w:tc><w:tc><w:tcPr><w:tcW w:type="dxa" w:w="74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Danmarks toldangivelsessystem; WCO Data Model XML er udvekslingsformatet</w:t></w:r></w:p></w:tc></w:tr><w:tr><w:tc><w:tcPr><w:tcW w:type="dxa" w:w="26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MFN</w:t></w:r></w:p></w:tc><w:tc><w:tcPr><w:tcW w:type="dxa" w:w="74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Most Favoured Nation — tredjelandstoldsatsen uden præference</w:t></w:r></w:p></w:tc></w:tr><w:tr><w:tc><w:tcPr><w:tcW w:type="dxa" w:w="26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EDR</w:t></w:r></w:p></w:tc><w:tc><w:tcPr><w:tcW w:type="dxa" w:w="74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Effektiv toldsats = told ÷ toldværdi</w:t></w:r></w:p></w:tc></w:tr><w:tr><w:tc><w:tcPr><w:tcW w:type="dxa" w:w="26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FTA / GSP / EPA</w:t></w:r></w:p></w:tc><w:tc><w:tcPr><w:tcW w:type="dxa" w:w="74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Frihandelsaftale / præferenceordning for udviklingslande / økonomisk partnerskabsaftale</w:t></w:r></w:p></w:tc></w:tr><w:tr><w:tc><w:tcPr><w:tcW w:type="dxa" w:w="26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TARIC</w:t></w:r></w:p></w:tc><w:tc><w:tcPr><w:tcW w:type="dxa" w:w="74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EU&apos;s integrerede tarif — satser, præferencer, foranstaltninger</w:t></w:r></w:p></w:tc></w:tr><w:tr><w:tc><w:tcPr><w:tcW w:type="dxa" w:w="26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DutyRegimeCode</w:t></w:r></w:p></w:tc><w:tc><w:tcPr><w:tcW w:type="dxa" w:w="74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Præferencekode (14 11 001); 100 = ingen præference</w:t></w:r></w:p></w:tc></w:tr></w:tbl><w:sectPr><w:pgSz w:w="11906" w:h="16838" w:orient="portrait"/><w:pgMar w:top="1134" w:right="1134" w:bottom="1134" w:left="1134" w:header="708" w:footer="708" w:gutter="0"/><w:pgNumType/><w:docGrid w:linePitch="360"/></w:sectPr></w:body>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2026-06-30T11:57:09.092Z</dcterms:created>
  <dcterms:modified xsi:type="dcterms:W3CDTF">2026-06-30T11:57:09.092Z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