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Indgangen til pakken: hvad findes, hvad er dækket, og hvad udestår. Skrevet efter best practice og skal indpasses i EY's konkrete godkendelsesskabelon. Værktøjet er på research-preview-niveau.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Pillar II GIR-Validator er et webbaseret kontrolværktøj, der validerer en færdig GloBE Information Return (GIR) mod OECD's officielle XML-skema og de officielle, nummererede valideringsregler, og rapporterer præcist hvad der er galt, hvor (XPath/linje) og hvor alvorligt — på dansk. Det er et selvstændigt valideringslag, ikke en beregnings- eller indberetningsmotor: det tager en fil, andre har produceret, og auditerer den.</w:t>
      </w:r>
    </w:p>
    <w:p>
      <w:pPr>
        <w:spacing w:after="120"/>
      </w:pPr>
      <w:r>
        <w:t xml:space="preserve">Positioneringen er bekræftet ved benchmark mod PwC, KPMG og Deloitte, der alle spiller end-to-end (data → beregning → filing) og ikke tilbyder et frittstående valideringslag. Værktøjet er søsterprodukt til SAF-T-validatoren på samme platform (balai.dk) og deler arkitektur, severity-model, central brugerstyring og driftsmodel.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(koden i validator/, validation/ og tools/):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8-lags model, regelmotor, referencedata, QA, hosting,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inputhærdning, app-sikkerhed, trusselsmodel, GDPR.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vs. EY-platform, migrationsplan, env-inventar, backup, roller, support.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Hver kontrol → OECD-kilde → modul → testdækning; fuldt katalog; referencedata-provenance; severity.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Pillar2-Validator_Valideringsrapport.md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Skema-validering (lag 1)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Direkte mod OECD's officielle GIR-XSD; XXE slået fra; testet.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Strukturel integritet (lag 2)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Rod/MessageSpec/GLOBEBody/sektioner + CompanyContext-udtræk.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OECD-regelgrundlag (dokumentation)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Alle 163 officielle regler udtrukket og klassificeret; 4 switched-off respekteres; provenance.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OECD-regelmotor (lag 3-4)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97/163 regler eksekverbare (19 beregningsregler); datadrevet motor dækker alle check-kategorier.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BALAI-brugerstyring (balai_auth): delt SSO på *.balai.dk, per-tool-adgang via slug 'pillar2', session/CSRF/rate-limit.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én planted defekt pr. eksekverbar kontrol (78/78 består), golden-GIR ren, gated i CI.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 (HTTP/input)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(review udestår)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CDN'er, HSTS, fuld header-pakke, XXE fra, parametreret. Fuld databehandlingsbeskrivelse skal review'es.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Guidance-afvigelser (lag 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Switched-off-regler respekteres; AdditionalDataPoint-anerkendelse udestår.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GIR/QDMTT-kryds (lag 6)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Kilde-agnostisk design klar; ikke implementeret.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Danske felt-regler (lag 7)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Åbent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Afventer afklaring mod Skattestyrelsen/DAC9.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Hosting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Udkast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Kører på pillar2.balai.dk (Railway, midlertidig dev/demo); EY-platform er forudsætning for klientdata.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Testsuite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(voksende)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74 enhedstests + valideringssuite + lint-port.</w:t>
            </w:r>
          </w:p>
        </w:tc>
      </w:tr>
    </w:tbl>
    <w:p>
      <w:pPr>
        <w:pStyle w:val="Heading1"/>
      </w:pPr>
      <w:r>
        <w:t xml:space="preserve">4. Regeldækning (ærligt billede)</w:t>
      </w:r>
    </w:p>
    <w:p>
      <w:pPr>
        <w:spacing w:after="120"/>
      </w:pPr>
      <w:r>
        <w:t xml:space="preserve">Det officielle katalog rummer 163 regler. De er ikke alle beregnet til et fil-valideringsværktøj: en del er transmissions-/modtagerstatus eller afhænger af besked-/korrektionshistorik på tværs af indsendelser. Fordelingen 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000"/>
        <w:gridCol w:w="52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Antal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Forklaring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Eksekverbare kontroller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97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Kodet i regelmotoren og verificeret af valideringssuiten (én planted defekt pr. kontrol).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Dækket af ækvivalent regel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semantik håndhæves allerede af en eksekverbar regel.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Kandidater (kan kodes)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41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Fil-validerbare regler der endnu ikke er kodet; kodes batch-vis.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Uden for scope (fil-validering)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Transmissions-/modtagerstatus, kryds-besked-/korrektionshistorik eller eksternt register.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Slået fra (2026-guidance)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Fyres aldrig jf. juni-2026-guidance.</w:t>
            </w:r>
          </w:p>
        </w:tc>
      </w:tr>
    </w:tbl>
    <w:p>
      <w:pPr>
        <w:spacing w:after="120"/>
      </w:pPr>
      <w:r>
        <w:rPr>
          <w:b/>
          <w:bCs/>
        </w:rPr>
        <w:t xml:space="preserve">Fil-validerbare regler i alt: 143 (katalog minus switched-off og uden-for-scope). Effektivt dækket: 102 (eksekverbare + ækvivalent) = 71 %. De resterende 41 kandidater kodes batch-vis. Den fulde klassifikation pr. regel ligger i sporbarhedsmatrixen (fane "Dækningsoverblik" + "Fuldt katalog").</w:t>
      </w:r>
    </w:p>
    <w:p>
      <w:pPr>
        <w:pStyle w:val="Heading1"/>
      </w:pPr>
      <w:r>
        <w:t xml:space="preserve">5. Åbne punkter (kræver EY / eksterne beslutninger)</w:t>
      </w:r>
    </w:p>
    <w:p>
      <w:pPr>
        <w:spacing w:after="120"/>
      </w:pPr>
      <w:r>
        <w:t xml:space="preserve">Disse kan ikke lukkes i koden alene — de kræver beslutninger, adgang eller eksterne parter: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Platformsflytning til EY-godkendt infrastruktur (EU-dataplacering) + databehandleraftale (DPA).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5: AdditionalDataPoint-workarounds anerkendes som gyldige (juni-2026-guidance).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6 (GIR/QDMTT-kryds) mod en normaliseret QDMTT-model.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Lag 7 (danske felt-regler) verificeret mod Skattestyrelsen/Den juridiske vejledning C.K./DAC9.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sikkerhedsgennemgang af en uafhængig part; SOC 2 / ISO 27001 fra driftsplatformen.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rigtige klientfiler afstemt mod OECD's egen validator som facit.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6.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DPA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Kod de resterende eksekverbare regler batch-vis (matrix + valideringssuite holder sig selv ajour).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GIR-filer; ret driftsfund ved roden.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30. juni 2026: Værktøjet er på research-preview-niveau. Alt der kan lukkes i kode og dokumentation internt, er på plads (lag 1-4, central login, uafhængig valideringssuite). De resterende punkter er bevidst markeret som åbne, fordi de kræver EY-beslutninger, fagafklaring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2026-07-01T07:14:19.972Z</dcterms:created>
  <dcterms:modified xsi:type="dcterms:W3CDTF">2026-07-01T07:14:19.972Z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