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B365D"/>
          <w:sz w:val="28"/>
          <w:szCs w:val="28"/>
        </w:rPr>
        <w:t xml:space="preserve">BALAI · Pillar II GIR-Validator</w:t>
      </w:r>
    </w:p>
    <w:p>
      <w:pPr>
        <w:spacing w:after="60"/>
      </w:pPr>
      <w:r>
        <w:rPr>
          <w:b/>
          <w:bCs/>
          <w:color w:val="1B365D"/>
          <w:sz w:val="44"/>
          <w:szCs w:val="44"/>
        </w:rPr>
        <w:t xml:space="preserve">Løsnings- og arkitekturbeskrivelse</w:t>
      </w:r>
    </w:p>
    <w:p>
      <w:pPr>
        <w:spacing w:after="200"/>
      </w:pPr>
      <w:r>
        <w:rPr>
          <w:i/>
          <w:iCs/>
          <w:color w:val="555555"/>
          <w:sz w:val="24"/>
          <w:szCs w:val="24"/>
        </w:rPr>
        <w:t xml:space="preserve">Grundlag for produkt-/værktøjsgodkendelse</w:t>
      </w:r>
    </w:p>
    <w:p>
      <w:pPr>
        <w:spacing w:after="120"/>
      </w:pPr>
      <w:r>
        <w:rPr>
          <w:color w:val="555555"/>
          <w:sz w:val="20"/>
          <w:szCs w:val="20"/>
        </w:rPr>
        <w:t xml:space="preserve">Best practice-grundlag; endnu ikke mappet mod EY's konkrete godkendelsesskabelon. Afsnit 11 lister åbne punkter.</w:t>
      </w:r>
    </w:p>
    <w:p>
      <w:pPr>
        <w:spacing w:after="60"/>
      </w:pPr>
      <w:r>
        <w:rPr>
          <w:color w:val="777777"/>
          <w:sz w:val="20"/>
          <w:szCs w:val="20"/>
        </w:rPr>
        <w:t xml:space="preserve">Klassifikation: Fortroligt — internt.</w:t>
      </w:r>
    </w:p>
    <w:p>
      <w:pPr>
        <w:spacing w:after="120"/>
      </w:pPr>
      <w:r>
        <w:rPr>
          <w:color w:val="777777"/>
          <w:sz w:val="20"/>
          <w:szCs w:val="20"/>
        </w:rPr>
        <w:t xml:space="preserve">BALAI · 30. juni 2026</w:t>
      </w:r>
    </w:p>
    <w:p>
      <w:r>
        <w:br w:type="page"/>
      </w:r>
    </w:p>
    <w:p>
      <w:pPr>
        <w:pStyle w:val="Heading1"/>
      </w:pPr>
      <w:r>
        <w:t xml:space="preserve">1. Formål og afgrænsning</w:t>
      </w:r>
    </w:p>
    <w:p>
      <w:pPr>
        <w:spacing w:after="120"/>
      </w:pPr>
      <w:r>
        <w:t xml:space="preserve">Pillar II GIR-Validator validerer en færdig GloBE Information Return (GIR) mod OECD's officielle XML-skema og de officielle valideringsregler, og rapporterer præcist hvad der er galt, hvor og hvor alvorligt — på dansk. Det er et kontrol-/valideringslag, ikke en beregnings- eller indberetningsmotor.</w:t>
      </w:r>
    </w:p>
    <w:p>
      <w:pPr>
        <w:spacing w:after="120"/>
      </w:pPr>
      <w:r>
        <w:t xml:space="preserve">Afgrænsning (bevidst): Værktøjet beregner ikke top-up tax og indsender ikke. Det auditerer en fil, andre har produceret. Dette dokument beskriver arkitektur, regelmodel, datahåndtering, sikkerhed, kvalitetssikring og drift som grundlag for en formel værktøjsgodkendelse, og ledsages af en regel-sporbarhedsmatrix (Excel).</w:t>
      </w:r>
    </w:p>
    <w:p>
      <w:pPr>
        <w:pStyle w:val="Heading1"/>
      </w:pPr>
      <w:r>
        <w:t xml:space="preserve">2. Teknologistack</w:t>
      </w:r>
    </w:p>
    <w:p>
      <w:pPr>
        <w:spacing w:after="120"/>
      </w:pPr>
      <w:r>
        <w:t xml:space="preserve">Python 3.13, Flask (web), lxml (streaming XML + XSD), pytest (testsuite), SQLAlchemy + psycopg til central brugerstyring. Samme stack og konventioner som SAF-T-validatoren, så drift og governance kan genbruges. Ingen tredjepartsafhængigheder i selve regelmotoren ud over lxml.</w:t>
      </w:r>
    </w:p>
    <w:p>
      <w:pPr>
        <w:pStyle w:val="Heading1"/>
      </w:pPr>
      <w:r>
        <w:t xml:space="preserve">3. Arkitektur i korte træk</w:t>
      </w:r>
    </w:p>
    <w:p>
      <w:pPr>
        <w:pStyle w:val="ListParagraph"/>
        <w:numPr>
          <w:ilvl w:val="0"/>
          <w:numId w:val="2"/>
        </w:numPr>
        <w:spacing w:after="60"/>
      </w:pPr>
      <w:r>
        <w:t xml:space="preserve">Data-drevet regelmotor: reglerne er data (JSON), ikke kode. Motoren (validator/rules/oecd_rules.py + engine.py) læser katalogerne og evaluerer. Ny/ændret regel = dataændring + test, ikke motorændring.</w:t>
      </w:r>
    </w:p>
    <w:p>
      <w:pPr>
        <w:pStyle w:val="ListParagraph"/>
        <w:numPr>
          <w:ilvl w:val="0"/>
          <w:numId w:val="2"/>
        </w:numPr>
        <w:spacing w:after="60"/>
      </w:pPr>
      <w:r>
        <w:t xml:space="preserve">Skemaer som source of truth: OECD's officielle XSD'er ligger i schemas/ og valideres direkte imod. Holdes friske af tools/sync_oecd_schemas.py.</w:t>
      </w:r>
    </w:p>
    <w:p>
      <w:pPr>
        <w:pStyle w:val="ListParagraph"/>
        <w:numPr>
          <w:ilvl w:val="0"/>
          <w:numId w:val="2"/>
        </w:numPr>
        <w:spacing w:after="60"/>
      </w:pPr>
      <w:r>
        <w:t xml:space="preserve">To regelkilder: oecd_validation_rules_catalogue.json = hele den officielle regelliste (163, referencegrundlag); oecd_validation_rules.json = den eksekverbare delmængde (78) motoren evaluerer.</w:t>
      </w:r>
    </w:p>
    <w:p>
      <w:pPr>
        <w:pStyle w:val="ListParagraph"/>
        <w:numPr>
          <w:ilvl w:val="0"/>
          <w:numId w:val="2"/>
        </w:numPr>
        <w:spacing w:after="60"/>
      </w:pPr>
      <w:r>
        <w:t xml:space="preserve">Findings-model: hvert fund har rule_id, lag (1-8), severity (5 niveauer), dansk besked + forslag og en Location (linje/XPath/element). Samlet dom: afvist / betinget godkendt / godkendt.</w:t>
      </w:r>
    </w:p>
    <w:p>
      <w:pPr>
        <w:pStyle w:val="ListParagraph"/>
        <w:numPr>
          <w:ilvl w:val="0"/>
          <w:numId w:val="2"/>
        </w:numPr>
        <w:spacing w:after="60"/>
      </w:pPr>
      <w:r>
        <w:t xml:space="preserve">Output: dansk HTML-rapport (og JSON via ?format=json). OECD Status Message-XML som output-format er planlagt (Fase 6).</w:t>
      </w:r>
    </w:p>
    <w:p>
      <w:pPr>
        <w:pStyle w:val="Heading1"/>
      </w:pPr>
      <w:r>
        <w:t xml:space="preserve">4. Dataflow</w:t>
      </w:r>
    </w:p>
    <w:p>
      <w:pPr>
        <w:pStyle w:val="ListParagraph"/>
        <w:numPr>
          <w:ilvl w:val="0"/>
          <w:numId w:val="3"/>
        </w:numPr>
        <w:spacing w:after="60"/>
      </w:pPr>
      <w:r>
        <w:t xml:space="preserve">Bruger logger ind via central BALAI-login og uploader en GIR-XML (fremtid: input fra dataudtræk-værktøjet via et kilde-agnostisk interface).</w:t>
      </w:r>
    </w:p>
    <w:p>
      <w:pPr>
        <w:pStyle w:val="ListParagraph"/>
        <w:numPr>
          <w:ilvl w:val="0"/>
          <w:numId w:val="3"/>
        </w:numPr>
        <w:spacing w:after="60"/>
      </w:pPr>
      <w:r>
        <w:t xml:space="preserve">Filen gemmes midlertidigt, pipelinen kører (lag 1-8), og kildefilen slettes straks efter kørsel.</w:t>
      </w:r>
    </w:p>
    <w:p>
      <w:pPr>
        <w:pStyle w:val="ListParagraph"/>
        <w:numPr>
          <w:ilvl w:val="0"/>
          <w:numId w:val="3"/>
        </w:numPr>
        <w:spacing w:after="60"/>
      </w:pPr>
      <w:r>
        <w:t xml:space="preserve">Resultatet (EngineOutcome) renderes som rapport. Ingen klientdata persisteres i nuværende fase (historik/revisionslog kan tilføjes som i SAF-T).</w:t>
      </w:r>
    </w:p>
    <w:p>
      <w:pPr>
        <w:pStyle w:val="Heading1"/>
      </w:pPr>
      <w:r>
        <w:t xml:space="preserve">5. Den 8-lags valideringsmodel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260"/>
        <w:gridCol w:w="2400"/>
      </w:tblGrid>
      <w:tr>
        <w:trPr>
          <w:tblHeader/>
        </w:trPr>
        <w:tc>
          <w:tcPr>
            <w:tcW w:type="dxa" w:w="700"/>
            <w:tcBorders>
              <w:top w:val="single" w:color="CCCCCC" w:sz="1"/>
              <w:left w:val="single" w:color="CCCCCC" w:sz="1"/>
              <w:bottom w:val="single" w:color="CCCCCC" w:sz="1"/>
              <w:right w:val="single" w:color="CCCCCC" w:sz="1"/>
            </w:tcBorders>
            <w:shd w:fill="1B365D" w:color="auto" w:val="clear"/>
            <w:tcMar>
              <w:top w:type="dxa" w:w="80"/>
              <w:left w:type="dxa" w:w="120"/>
              <w:bottom w:type="dxa" w:w="80"/>
              <w:right w:type="dxa" w:w="120"/>
            </w:tcMar>
          </w:tcPr>
          <w:p>
            <w:r>
              <w:rPr>
                <w:b/>
                <w:bCs/>
                <w:color w:val="FFFFFF"/>
              </w:rPr>
              <w:t xml:space="preserve">Lag</w:t>
            </w:r>
          </w:p>
        </w:tc>
        <w:tc>
          <w:tcPr>
            <w:tcW w:type="dxa" w:w="6260"/>
            <w:tcBorders>
              <w:top w:val="single" w:color="CCCCCC" w:sz="1"/>
              <w:left w:val="single" w:color="CCCCCC" w:sz="1"/>
              <w:bottom w:val="single" w:color="CCCCCC" w:sz="1"/>
              <w:right w:val="single" w:color="CCCCCC" w:sz="1"/>
            </w:tcBorders>
            <w:shd w:fill="1B365D" w:color="auto" w:val="clear"/>
            <w:tcMar>
              <w:top w:type="dxa" w:w="80"/>
              <w:left w:type="dxa" w:w="120"/>
              <w:bottom w:type="dxa" w:w="80"/>
              <w:right w:type="dxa" w:w="120"/>
            </w:tcMar>
          </w:tcPr>
          <w:p>
            <w:r>
              <w:rPr>
                <w:b/>
                <w:bCs/>
                <w:color w:val="FFFFFF"/>
              </w:rPr>
              <w:t xml:space="preserve">Navn</w:t>
            </w:r>
          </w:p>
        </w:tc>
        <w:tc>
          <w:tcPr>
            <w:tcW w:type="dxa" w:w="2400"/>
            <w:tcBorders>
              <w:top w:val="single" w:color="CCCCCC" w:sz="1"/>
              <w:left w:val="single" w:color="CCCCCC" w:sz="1"/>
              <w:bottom w:val="single" w:color="CCCCCC" w:sz="1"/>
              <w:right w:val="single" w:color="CCCCCC" w:sz="1"/>
            </w:tcBorders>
            <w:shd w:fill="1B365D" w:color="auto" w:val="clear"/>
            <w:tcMar>
              <w:top w:type="dxa" w:w="80"/>
              <w:left w:type="dxa" w:w="120"/>
              <w:bottom w:type="dxa" w:w="80"/>
              <w:right w:type="dxa" w:w="120"/>
            </w:tcMar>
          </w:tcPr>
          <w:p>
            <w:r>
              <w:rPr>
                <w:b/>
                <w:bCs/>
                <w:color w:val="FFFFFF"/>
              </w:rPr>
              <w:t xml:space="preserve">Status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Skema &amp; syntaks (well-formed + XSD mod GIR-skema)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Aktiv</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Strukturel integritet (rod, MessageSpec, GLOBEBody, sektioner)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Aktiv</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OECD-regler, file-level (nummererede)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Aktiv (delmængde)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OECD-regler, record-level (nummererede)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Aktiv (delmængde)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Guidance-afvigelser (juni 2026)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Delvist (switched-off respekteres)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6</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GIR/QDMTT-kryds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Planlagt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7</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Danske felt-regler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Planlagt (afventer afklaring)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8</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Referenceintegritet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Delvist (ref_integrity-type findes)</w:t>
            </w:r>
          </w:p>
        </w:tc>
      </w:tr>
    </w:tbl>
    <w:p>
      <w:pPr>
        <w:spacing w:after="120"/>
      </w:pPr>
      <w:r>
        <w:t xml:space="preserve">Lag 1-2 er blokerende (fejl her gør dybere lag meningsløse). Severity-modellen og dommen er fælles med SAF-T (Kritisk/Væsentlig/Medium/Lav/Info).</w:t>
      </w:r>
    </w:p>
    <w:p>
      <w:pPr>
        <w:pStyle w:val="Heading1"/>
      </w:pPr>
      <w:r>
        <w:t xml:space="preserve">6. Regelmotorens vokabular (check-typer)</w:t>
      </w:r>
    </w:p>
    <w:p>
      <w:pPr>
        <w:spacing w:after="120"/>
      </w:pPr>
      <w:r>
        <w:t xml:space="preserve">Motoren udtrykker i dag 14 kontroltyper, der tilsammen dækker alle kategorier i det officielle katalog (inkl. beregning): unique, unique_in, required_if, forbidden_if, not_equal, mutually_exclusive, conditional (if/then med element + attributter; operatorer present/absent/equals/not_equals/in/not_in/contains/lt/gt/le/ge/eq/ne — med dato-/år-/tal-coercion, sammenligning mod et andet elements værdi (ref) og år-offset, fx 'år ≥ periodeslut − 4'), ref_integrity, conditional_ref, format (regex), value_range, compare (dato/år/tal-ordning), cardinality, og calculation.</w:t>
      </w:r>
    </w:p>
    <w:p>
      <w:pPr>
        <w:spacing w:after="120"/>
      </w:pPr>
      <w:r>
        <w:t xml:space="preserve">calculation er en beregningsmotor, der evaluerer aritmetiske formler (subtract/sum/multiply/divide/sum_all, rekursivt, med litteral-konstanter og tolerance) over GIR'ens felter og sammenligner beregnet mod rapporteret værdi. 15 beregningsregler er aktive; resten kodes batch-vis.</w:t>
      </w:r>
    </w:p>
    <w:p>
      <w:pPr>
        <w:pStyle w:val="Heading1"/>
      </w:pPr>
      <w:r>
        <w:t xml:space="preserve">7. Referencedata og provenance</w:t>
      </w:r>
    </w:p>
    <w:p>
      <w:pPr>
        <w:pStyle w:val="ListParagraph"/>
        <w:numPr>
          <w:ilvl w:val="0"/>
          <w:numId w:val="2"/>
        </w:numPr>
        <w:spacing w:after="60"/>
      </w:pPr>
      <w:r>
        <w:t xml:space="preserve">Skemaer: OECD GIR XML Schema (GLOBEXML_v1.0 + isoglobetypes + oecdglobetypes) + GIR Status Message Schema, udpakket i schemas/ med _provenance.json (kilde, sha256, dato). Manifest i schemas/SCHEMA_SOURCES.md.</w:t>
      </w:r>
    </w:p>
    <w:p>
      <w:pPr>
        <w:pStyle w:val="ListParagraph"/>
        <w:numPr>
          <w:ilvl w:val="0"/>
          <w:numId w:val="2"/>
        </w:numPr>
        <w:spacing w:after="60"/>
      </w:pPr>
      <w:r>
        <w:t xml:space="preserve">Regler: udtrukket fra OECD GIR Status Message User Guide (juli 2025) Part 4 og guidance (juni 2026). Kilde-PDF'er i docs/oecd_sources/. Overblik i OECD_regelgrundlag.md.</w:t>
      </w:r>
    </w:p>
    <w:p>
      <w:pPr>
        <w:pStyle w:val="ListParagraph"/>
        <w:numPr>
          <w:ilvl w:val="0"/>
          <w:numId w:val="2"/>
        </w:numPr>
        <w:spacing w:after="60"/>
      </w:pPr>
      <w:r>
        <w:t xml:space="preserve">OECD opdaterer løbende skema og regler; en forældet lokal kopi kan afvise gyldige filer → sync-/selvtjek-mekanik som i SAF-T (månedlig GitHub Action).</w:t>
      </w:r>
    </w:p>
    <w:p>
      <w:pPr>
        <w:pStyle w:val="Heading1"/>
      </w:pPr>
      <w:r>
        <w:t xml:space="preserve">8. Central brugerstyring og adgang</w:t>
      </w:r>
    </w:p>
    <w:p>
      <w:pPr>
        <w:spacing w:after="120"/>
      </w:pPr>
      <w:r>
        <w:t xml:space="preserve">Værktøjet er koblet på den fælles BALAI-brugerstyring (pakken balai_auth), præcis som SAF-T. Login sker centralt på auth.balai.dk; sessionscookien deles på tværs af *.balai.dk (delt SECRET_KEY + SESSION_COOKIE_DOMAIN), så ét login gælder alle værktøjer. Adgang til netop dette værktøj styres per bruger via tool-sluggen 'pillar2' (entitlements i en delt PostgreSQL). Alle ruter undtagen sundhedstjek er beskyttet med login + adgangstjek; uautoriserede sendes til central login. Session er browser-session-cookie med absolut 12-timers grænse, CSRF-beskyttelse og databaseunderstøttet login-rate-limit.</w:t>
      </w:r>
    </w:p>
    <w:p>
      <w:pPr>
        <w:pStyle w:val="Heading1"/>
      </w:pPr>
      <w:r>
        <w:t xml:space="preserve">9. Kvalitetssikring</w:t>
      </w:r>
    </w:p>
    <w:p>
      <w:pPr>
        <w:pStyle w:val="ListParagraph"/>
        <w:numPr>
          <w:ilvl w:val="0"/>
          <w:numId w:val="2"/>
        </w:numPr>
        <w:spacing w:after="60"/>
      </w:pPr>
      <w:r>
        <w:t xml:space="preserve">Automatiseret enhedstest-suite (pytest), pr. nu 74 tests: katalogindlæsning, severity/dom, XSD-validering (valid + planted-invalid), strukturkontroller, hver check-type, switched-off-respekt, login-gating og app-endpoints.</w:t>
      </w:r>
    </w:p>
    <w:p>
      <w:pPr>
        <w:pStyle w:val="ListParagraph"/>
        <w:numPr>
          <w:ilvl w:val="0"/>
          <w:numId w:val="2"/>
        </w:numPr>
        <w:spacing w:after="60"/>
      </w:pPr>
      <w:r>
        <w:t xml:space="preserve">Uafhængig valideringssuite (validation/): for hver eksekverbar OECD-kontrol plantes ÉN målrettet defekt, og det bekræftes, at netop den kontrol fyrer — og at den rene golden-GIR ikke giver fund. 78/78 består; gated i CI (python -m validation.run_validation).</w:t>
      </w:r>
    </w:p>
    <w:p>
      <w:pPr>
        <w:pStyle w:val="ListParagraph"/>
        <w:numPr>
          <w:ilvl w:val="0"/>
          <w:numId w:val="2"/>
        </w:numPr>
        <w:spacing w:after="60"/>
      </w:pPr>
      <w:r>
        <w:t xml:space="preserve">Lint af regelfilen (tools/sync_oecd_rules.py --check): struktur + at hver XPath kompilerer; rapporterer dækning.</w:t>
      </w:r>
    </w:p>
    <w:p>
      <w:pPr>
        <w:pStyle w:val="ListParagraph"/>
        <w:numPr>
          <w:ilvl w:val="0"/>
          <w:numId w:val="2"/>
        </w:numPr>
        <w:spacing w:after="60"/>
      </w:pPr>
      <w:r>
        <w:t xml:space="preserve">To skemagyldige GIR-fixturer: en minimal (gir_valid.xml) og en komplet golden-fixtur (gir_valid_rich.xml), bygget fra de faktiske skema-krav. Golden-fixturen er fuldt godkendt og fungerer som regressions- og demo-facit, også end-to-end for beregningsmotoren.</w:t>
      </w:r>
    </w:p>
    <w:p>
      <w:pPr>
        <w:pStyle w:val="Heading1"/>
      </w:pPr>
      <w:r>
        <w:t xml:space="preserve">10. Ændringsstyring</w:t>
      </w:r>
    </w:p>
    <w:p>
      <w:pPr>
        <w:spacing w:after="120"/>
      </w:pPr>
      <w:r>
        <w:t xml:space="preserve">Ny/ændret kontrol → opdatér regel-JSON (+ bump catalog_version), tests, CHANGELOG.md, sporbarhedsmatrix og valideringssuite. Sporbarhedsmatrix og valideringsrapport regenereres deterministisk fra kataloget (tools/build_traceability.py, validation/run_validation.py), så de aldrig kommer ud af sync. Markdown-/docx-dokumenterne versioneres med koden.</w:t>
      </w:r>
    </w:p>
    <w:p>
      <w:pPr>
        <w:pStyle w:val="Heading1"/>
      </w:pPr>
      <w:r>
        <w:t xml:space="preserve">11. Begrænsninger og åbne punkter</w:t>
      </w:r>
    </w:p>
    <w:p>
      <w:pPr>
        <w:pStyle w:val="ListParagraph"/>
        <w:numPr>
          <w:ilvl w:val="0"/>
          <w:numId w:val="2"/>
        </w:numPr>
        <w:spacing w:after="60"/>
      </w:pPr>
      <w:r>
        <w:t xml:space="preserve">Eksekverbar regeldækning er 78/163 (se sporbarhedsmatrix); resten kodes batch-vis. Beregningsmotoren er aktiv; øvrige beregningsregler kodes løbende.</w:t>
      </w:r>
    </w:p>
    <w:p>
      <w:pPr>
        <w:pStyle w:val="ListParagraph"/>
        <w:numPr>
          <w:ilvl w:val="0"/>
          <w:numId w:val="2"/>
        </w:numPr>
        <w:spacing w:after="60"/>
      </w:pPr>
      <w:r>
        <w:t xml:space="preserve">Lag 6 (GIR/QDMTT) og lag 7 (danske felt-regler) er planlagte; danske udfyldningsregler skal verificeres mod Skattestyrelsen/DAC9.</w:t>
      </w:r>
    </w:p>
    <w:p>
      <w:pPr>
        <w:pStyle w:val="ListParagraph"/>
        <w:numPr>
          <w:ilvl w:val="0"/>
          <w:numId w:val="2"/>
        </w:numPr>
        <w:spacing w:after="60"/>
      </w:pPr>
      <w:r>
        <w:t xml:space="preserve">Persistens/historik/revisionslog og Status Message-output er planlagt (som i SAF-T-modellen).</w:t>
      </w:r>
    </w:p>
    <w:p>
      <w:pPr>
        <w:pStyle w:val="ListParagraph"/>
        <w:numPr>
          <w:ilvl w:val="0"/>
          <w:numId w:val="2"/>
        </w:numPr>
        <w:spacing w:after="60"/>
      </w:pPr>
      <w:r>
        <w:t xml:space="preserve">Hosting, penetrationstest, SOC 2/ISO og DPA følger EY-platformen (jf. SAF-T).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B365D"/>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2E5C8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2026-07-01T07:14:19.975Z</dcterms:created>
  <dcterms:modified xsi:type="dcterms:W3CDTF">2026-07-01T07:14:19.975Z</dcterms:modified>
</cp:coreProperties>
</file>

<file path=docProps/custom.xml><?xml version="1.0" encoding="utf-8"?>
<Properties xmlns="http://schemas.openxmlformats.org/officeDocument/2006/custom-properties" xmlns:vt="http://schemas.openxmlformats.org/officeDocument/2006/docPropsVTypes"/>
</file>