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BALAI · Pillar II GIR-Validator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Hosting, drift og support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Driftsgrundlag for godkendelse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Udkast: nuværende drift er midlertidig (dev/demo). EY-platform er en forudsætning for produktionsbrug med klientdata.</w:t>
      </w:r>
    </w:p>
    <w:p>
      <w:pPr>
        <w:spacing w:after="60"/>
      </w:pPr>
      <w:r>
        <w:rPr>
          <w:color w:val="777777"/>
          <w:sz w:val="20"/>
          <w:szCs w:val="20"/>
        </w:rPr>
        <w:t xml:space="preserve">Klassifikation: Fortroligt — internt.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BALAI · 30. juni 2026</w:t>
      </w:r>
    </w:p>
    <w:p>
      <w:r>
        <w:br w:type="page"/>
      </w:r>
    </w:p>
    <w:p>
      <w:pPr>
        <w:pStyle w:val="Heading1"/>
      </w:pPr>
      <w:r>
        <w:t xml:space="preserve">1. Nuværende drift vs. mål</w:t>
      </w:r>
    </w:p>
    <w:p>
      <w:pPr>
        <w:spacing w:after="120"/>
      </w:pPr>
      <w:r>
        <w:t xml:space="preserve">Værktøjet kører i dag på pillar2.balai.dk via Railway (kontinuerlig deploy fra privat GitHub-repo), som midlertidig dev-/demo-platform — på linje med de øvrige BALAI-værktøjer. Målet er en flytning til EY-godkendt infrastruktur (EU-dataplacering) før produktionsbrug med klientdata. Appen er platform-agnostisk (WSGI + Flask) og kan flyttes uden ændringer i kontrol-logikken.</w:t>
      </w:r>
    </w:p>
    <w:p>
      <w:pPr>
        <w:pStyle w:val="Heading1"/>
      </w:pPr>
      <w:r>
        <w:t xml:space="preserve">2. Migrationsplan til EY-platform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Aftal EY-godkendt driftsmiljø (EU-region) + databehandleraftale.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Provisionér miljø: WSGI-app (gunicorn), miljøvariabler, og — hvis historik tilføjes — persistent lagring/DB.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Flyt den centrale brugerstyrings PostgreSQL til EU-region (delt med de øvrige værktøjer).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Verificér delt login (SECRET_KEY + SESSION_COOKIE_DOMAIN + AUTH_BASE_URL) og per-tool-adgang efter flytning.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Kør valideringssuiten + enhedstests som accepttest i målmiljøet; flyt DNS.</w:t>
      </w:r>
    </w:p>
    <w:p>
      <w:pPr>
        <w:pStyle w:val="Heading1"/>
      </w:pPr>
      <w:r>
        <w:t xml:space="preserve">3. Miljø- og konfigurationsinventar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Formål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SECRET_KEY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Signerer session-cookie; delt SSO på *.balai.dk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Påkrævet i prod; identisk på alle BALAI-værktøjer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SESSION_COOKIE_DOMAIN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Cookie-deling på tværs af subdomæner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fx .balai.dk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AUTH_BASE_URL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Central login-/auth-tjeneste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https://auth.balai.dk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Delt brugerdatabase (entitlements)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Samme delte Postgres som de øvrige værktøjer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FLASK_ENV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Miljø (production aktiverer sikre cookies + kræver SECRET_KEY)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MAX_UPLOAD_MB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Upload-grænse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200</w:t>
            </w:r>
          </w:p>
        </w:tc>
      </w:tr>
    </w:tbl>
    <w:p>
      <w:pPr>
        <w:pStyle w:val="Heading1"/>
      </w:pPr>
      <w:r>
        <w:t xml:space="preserve">4. Backup, BCDR og overvågning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Kildefiler persisteres ikke (slettes straks), så der er ingen klientdata at sikkerhedskopiere i nuværende fase.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 delte brugerdatabase backes op på driftsplatformen (defineres ved EY-flytning).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Genskabelse: appen er stateless (uden historik) og kan genudrulles fra git; mål-RTO/RPO fastlægges med EY-platformen.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Overvågning/alarmering kobles til EY-platformens stack ved flytning.</w:t>
      </w:r>
    </w:p>
    <w:p>
      <w:pPr>
        <w:pStyle w:val="Heading1"/>
      </w:pPr>
      <w:r>
        <w:t xml:space="preserve">5. CI og frigivelse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og lint køres lokalt før push (pytest + valideringssuite + tools/sync_oecd_rules.py --check); Railway auto-deployer ved push.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Runtime-afhængigheder er versionspinnede i requirements.txt; pip-audit kan køres på runtime-deps.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Katalog, sporbarhedsmatrix, valideringsrapport og dokumentationspakke regenereres deterministisk via tools/-scripts.</w:t>
      </w:r>
    </w:p>
    <w:p>
      <w:pPr>
        <w:pStyle w:val="Heading1"/>
      </w:pPr>
      <w:r>
        <w:t xml:space="preserve">6. Roller, support og åbne punkter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Rolle-/ansvarsbeskrivelse (drift, indholdsejer for regelkataloget, sikkerhed) fastlægges med 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Support- og vedligeholdelsesmodel (SLA, opdatering af regler/skema ved OECD-ændringer) fastlægges.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Penetrationstest, SOC 2 / ISO 27001 og DPA leveres fra driftsplatformen.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2026-06-30T12:09:33.087Z</dcterms:created>
  <dcterms:modified xsi:type="dcterms:W3CDTF">2026-06-30T12:09:33.087Z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