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Indgangen til pakken: hvad findes, hvad er dækket, og hvad udestår. Skrevet efter best practice og skal indpasses i EY's konkrete godkendelsesskabelon. Værktøjet er på research-preview-niveau.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Pillar II GIR-Validator er et webbaseret kontrolværktøj, der validerer en færdig GloBE Information Return (GIR) mod OECD's officielle XML-skema og de officielle, nummererede valideringsregler, og rapporterer præcist hvad der er galt, hvor (XPath/linje) og hvor alvorligt — på dansk. Det er et selvstændigt valideringslag, ikke en beregnings- eller indberetningsmotor: det tager en fil, andre har produceret, og auditerer den.</w:t>
      </w:r>
    </w:p>
    <w:p>
      <w:pPr>
        <w:spacing w:after="120"/>
      </w:pPr>
      <w:r>
        <w:t xml:space="preserve">Positioneringen er bekræftet ved benchmark mod PwC, KPMG og Deloitte, der alle spiller end-to-end (data → beregning → filing) og ikke tilbyder et frittstående valideringslag. Værktøjet er søsterprodukt til SAF-T-validatoren på samme platform (balai.dk) og deler arkitektur, severity-model, central brugerstyring og driftsmodel.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(koden i validator/, validation/ og tools/):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8-lags model, regelmotor, referencedata, QA, hosting,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inputhærdning, app-sikkerhed, trusselsmodel, GDPR.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vs. EY-platform, migrationsplan, env-inventar, backup, roller, support.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Hver kontrol → OECD-kilde → modul → testdækning; fuldt katalog; referencedata-provenance; severity.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Skema-validering (lag 1)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Direkte mod OECD's officielle GIR-XSD; XXE slået fra; testet.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Strukturel integritet (lag 2)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Rod/MessageSpec/GLOBEBody/sektioner + CompanyContext-udtræk.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OECD-regelgrundlag (dokumentation)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 163 officielle regler udtrukket og klassificeret; 4 switched-off respekteres; provenance.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OECD-regelmotor (lag 3-4)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78/163 regler eksekverbare (15 beregningsregler); datadrevet motor dækker alle check-kategorier.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BALAI-brugerstyring (balai_auth): delt SSO på *.balai.dk, per-tool-adgang via slug 'pillar2', session/CSRF/rate-limit.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én planted defekt pr. eksekverbar kontrol (78/78 består), golden-GIR ren, gated i CI.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 (HTTP/input)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(review udestår)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CDN'er, HSTS, fuld header-pakke, XXE fra, parametreret. Fuld databehandlingsbeskrivelse skal review'es.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Guidance-afvigelser (lag 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Switched-off-regler respekteres; AdditionalDataPoint-anerkendelse udestår.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GIR/QDMTT-kryds (lag 6)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Kilde-agnostisk design klar; ikke implementeret.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Danske felt-regler (lag 7)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Afventer afklaring mod Skattestyrelsen/DAC9.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Hosting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Kører på pillar2.balai.dk (Railway, midlertidig dev/demo); EY-platform er forudsætning for klientdata.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Testsuite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74 enhedstests + valideringssuite + lint-port.</w:t>
            </w:r>
          </w:p>
        </w:tc>
      </w:tr>
    </w:tbl>
    <w:p>
      <w:pPr>
        <w:pStyle w:val="Heading1"/>
      </w:pPr>
      <w:r>
        <w:t xml:space="preserve">4. Åbne punkter (kræver EY / eksterne beslutninger)</w:t>
      </w:r>
    </w:p>
    <w:p>
      <w:pPr>
        <w:spacing w:after="120"/>
      </w:pPr>
      <w:r>
        <w:t xml:space="preserve">Disse kan ikke lukkes i koden alene — de kræver beslutninger, adgang eller eksterne parter: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Platformsflytning til EY-godkendt infrastruktur (EU-dataplacering) + databehandleraftale (DPA).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5: AdditionalDataPoint-workarounds anerkendes som gyldige (juni-2026-guidance).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6 (GIR/QDMTT-kryds) mod en normaliseret QDMTT-model.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7 (danske felt-regler) verificeret mod Skattestyrelsen/Den juridiske vejledning C.K./DAC9.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sikkerhedsgennemgang af en uafhængig part; SOC 2 / ISO 27001 fra driftsplatformen.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rigtige klientfiler afstemt mod OECD's egen validator som facit.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5.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DPA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Kod de resterende eksekverbare regler batch-vis (matrix + valideringssuite holder sig selv ajour).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GIR-filer; ret driftsfund ved roden.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30. juni 2026: Værktøjet er på research-preview-niveau. Alt der kan lukkes i kode og dokumentation internt, er på plads (lag 1-4, central login, uafhængig valideringssuite). De resterende punkter er bevidst markeret som åbne, fordi de kræver EY-beslutninger, fagafklaring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2026-06-30T11:42:25.755Z</dcterms:created>
  <dcterms:modified xsi:type="dcterms:W3CDTF">2026-06-30T11:42:25.755Z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