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B365D"/>
          <w:sz w:val="28"/>
          <w:szCs w:val="28"/>
        </w:rPr>
        <w:t xml:space="preserve">BALAI · Pillar II GIR-Validator</w:t>
      </w:r>
    </w:p>
    <w:p>
      <w:pPr>
        <w:spacing w:after="60"/>
      </w:pPr>
      <w:r>
        <w:rPr>
          <w:b/>
          <w:bCs/>
          <w:color w:val="1B365D"/>
          <w:sz w:val="44"/>
          <w:szCs w:val="44"/>
        </w:rPr>
        <w:t xml:space="preserve">Sikkerheds- og databehandlingsbeskrivelse</w:t>
      </w:r>
    </w:p>
    <w:p>
      <w:pPr>
        <w:spacing w:after="200"/>
      </w:pPr>
      <w:r>
        <w:rPr>
          <w:i/>
          <w:iCs/>
          <w:color w:val="555555"/>
          <w:sz w:val="24"/>
          <w:szCs w:val="24"/>
        </w:rPr>
        <w:t xml:space="preserve">Grundlag for godkendelse — skal review'es af jura/databeskyttelse og sikkerhed</w:t>
      </w:r>
    </w:p>
    <w:p>
      <w:pPr>
        <w:spacing w:after="120"/>
      </w:pPr>
      <w:r>
        <w:rPr>
          <w:color w:val="555555"/>
          <w:sz w:val="20"/>
          <w:szCs w:val="20"/>
        </w:rPr>
        <w:t xml:space="preserve">Udkast: app- og inputsikkerhed er på plads; den fulde databehandlingsbeskrivelse (DPA, dataplacering, logning) skal gennemgås af de relevante funktioner.</w:t>
      </w:r>
    </w:p>
    <w:p>
      <w:pPr>
        <w:spacing w:after="60"/>
      </w:pPr>
      <w:r>
        <w:rPr>
          <w:color w:val="777777"/>
          <w:sz w:val="20"/>
          <w:szCs w:val="20"/>
        </w:rPr>
        <w:t xml:space="preserve">Klassifikation: Fortroligt — internt.</w:t>
      </w:r>
    </w:p>
    <w:p>
      <w:pPr>
        <w:spacing w:after="120"/>
      </w:pPr>
      <w:r>
        <w:rPr>
          <w:color w:val="777777"/>
          <w:sz w:val="20"/>
          <w:szCs w:val="20"/>
        </w:rPr>
        <w:t xml:space="preserve">BALAI · 30. juni 2026</w:t>
      </w:r>
    </w:p>
    <w:p>
      <w:r>
        <w:br w:type="page"/>
      </w:r>
    </w:p>
    <w:p>
      <w:pPr>
        <w:pStyle w:val="Heading1"/>
      </w:pPr>
      <w:r>
        <w:t xml:space="preserve">1. Datakategorier</w:t>
      </w:r>
    </w:p>
    <w:p>
      <w:pPr>
        <w:spacing w:after="120"/>
      </w:pPr>
      <w:r>
        <w:t xml:space="preserve">En GIR indeholder følsomme koncern-/skatteoplysninger: enheds- og koncernnavne, TIN'er, jurisdiktioner, regnskabstal, effektiv skattesats og top-up tax. Behandles som fortroligt forretningsdata. Værktøjet behandler ikke persondata om privatpersoner som kerneformål, men TIN/navne kan forekomme. Den centrale brugerstyring behandler desuden persondata om brugerne (e-mail, login-/hændelseslog).</w:t>
      </w:r>
    </w:p>
    <w:p>
      <w:pPr>
        <w:pStyle w:val="Heading1"/>
      </w:pPr>
      <w:r>
        <w:t xml:space="preserve">2. Dataflow og dataminimering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Bruger logger ind via central BALAI-login og uploader en GIR-XML.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Filen gemmes midlertidigt under kørsel og slettes straks efter (ingen varig lagring af kildefilen i nuværende fase).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Resultatet vises som rapport i brugerens session. Der persisteres ikke klientdata i nuværende fase (historik/revisionslog kan tilføjes som i SAF-T, med retention-styring).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Ingen klientdata sendes til tredjeparter. Referencedata (skema/regler) er statiske, lokale filer — ingen eksterne opslag under validering.</w:t>
      </w:r>
    </w:p>
    <w:p>
      <w:pPr>
        <w:pStyle w:val="Heading1"/>
      </w:pPr>
      <w:r>
        <w:t xml:space="preserve">3. Inputhærdning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XXE slået fra: XML-parseren kører med resolve_entities=False og no_network=True — ingen ekstern entitetsopløsning, ingen netværksadgang fra parseren. Gælder well-formedness-, XSD- og regel-parsing.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Størrelse: upload-grænse via MAX_UPLOAD_MB; lxml huge_tree bruges kontrolleret.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Skema fra disk: XSD'er valideres fra lokale, versionerede filer (provenance m. sha256) — ikke fra netværket.</w:t>
      </w:r>
    </w:p>
    <w:p>
      <w:pPr>
        <w:pStyle w:val="Heading1"/>
      </w:pPr>
      <w:r>
        <w:t xml:space="preserve">4. Applikationssikkerhed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Content-Security-Policy uden CDN'er (kun 'self'; ingen ekstern script/style), samt X-Content-Type-Options, X-Frame-Options (DENY), Referrer-Policy, Permissions-Policy og HSTS.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Central login (balai_auth) på alle ruter undtagen sundhedstjek; per-tool-adgangstjek (slug 'pillar2'); CSRF-beskyttelse og databaseunderstøttet login-rate-limit.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SECRET_KEY påkrævet i produktion (fejler hurtigt hvis ikke sat); delt på tværs af *.balai.dk for SSO.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Ingen råt brugerinput i filstier (midlertidige filer via tempfile).</w:t>
      </w:r>
    </w:p>
    <w:p>
      <w:pPr>
        <w:pStyle w:val="Heading1"/>
      </w:pPr>
      <w:r>
        <w:t xml:space="preserve">5. Trusselsmodel (resumé)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Trussel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Modforanstaltning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XXE / XML-bomber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resolve_entities=False, no_network, upload-grænse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Skadelig upload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Validering før behandling; kildefil slettes straks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Uautoriseret adgang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Central login + per-tool-adgangstjek; session m. 12t-grænse; rate-limit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Datalækage til tredjepart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Ingen eksterne kald under validering; statiske referencedata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Forældet skema afviser gyldige filer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Sync + provenance + selvtjek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Clickjacking/MIME-sniffing/XSS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Sikkerhedsheaders + stram CSP uden CDN'er</w:t>
            </w:r>
          </w:p>
        </w:tc>
      </w:tr>
    </w:tbl>
    <w:p>
      <w:pPr>
        <w:pStyle w:val="Heading1"/>
      </w:pPr>
      <w:r>
        <w:t xml:space="preserve">6. Åbne punkter (til review)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Behandlingsgrundlag/DPA og dataplacering (EU) — jura/DPO. Den delte brugerdatabase (persondata) skal ligge i EU-region.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Persistens/retention hvis historik tilføjes (env-styret, som SAF-T).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Penetrationstest, SOC 2 / ISO 27001 — fra driftsplatformen.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Logning/hændelseshåndtering — defineres med driftsplatformen.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5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B365D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5C8A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2026-06-30T11:42:25.758Z</dcterms:created>
  <dcterms:modified xsi:type="dcterms:W3CDTF">2026-06-30T11:42:25.758Z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