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365D"/>
          <w:sz w:val="28"/>
          <w:szCs w:val="28"/>
        </w:rPr>
        <w:t xml:space="preserve">BALAI · Pillar II GIR-Validator</w:t>
      </w:r>
    </w:p>
    <w:p>
      <w:pPr>
        <w:spacing w:after="60"/>
      </w:pPr>
      <w:r>
        <w:rPr>
          <w:b/>
          <w:bCs/>
          <w:color w:val="1B365D"/>
          <w:sz w:val="44"/>
          <w:szCs w:val="44"/>
        </w:rPr>
        <w:t xml:space="preserve">Godkendelses-overblik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Forside- og statusdokument for værktøjsgodkendelse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Indgangen til pakken: hvad findes, hvad er dækket, og hvad udestår. Skrevet efter best practice og skal indpasses i EY's konkrete godkendelsesskabelon. Værktøjet er på research-preview-niveau.</w:t>
      </w:r>
    </w:p>
    <w:p>
      <w:pPr>
        <w:spacing w:after="60"/>
      </w:pPr>
      <w:r>
        <w:rPr>
          <w:color w:val="777777"/>
          <w:sz w:val="20"/>
          <w:szCs w:val="20"/>
        </w:rPr>
        <w:t xml:space="preserve">Klassifikation: Fortroligt — internt.</w:t>
      </w:r>
    </w:p>
    <w:p>
      <w:pPr>
        <w:spacing w:after="120"/>
      </w:pPr>
      <w:r>
        <w:rPr>
          <w:color w:val="777777"/>
          <w:sz w:val="20"/>
          <w:szCs w:val="20"/>
        </w:rPr>
        <w:t xml:space="preserve">BALAI · 30. juni 2026</w:t>
      </w:r>
    </w:p>
    <w:p>
      <w:r>
        <w:br w:type="page"/>
      </w:r>
    </w:p>
    <w:p>
      <w:pPr>
        <w:pStyle w:val="Heading1"/>
      </w:pPr>
      <w:r>
        <w:t xml:space="preserve">1. Produktet kort fortalt</w:t>
      </w:r>
    </w:p>
    <w:p>
      <w:pPr>
        <w:spacing w:after="120"/>
      </w:pPr>
      <w:r>
        <w:t xml:space="preserve">Pillar II GIR-Validator er et webbaseret kontrolværktøj, der validerer en færdig GloBE Information Return (GIR) mod OECD's officielle XML-skema og de officielle, nummererede valideringsregler, og rapporterer præcist hvad der er galt, hvor (XPath/linje) og hvor alvorligt — på dansk. Det er et selvstændigt valideringslag, ikke en beregnings- eller indberetningsmotor: det tager en fil, andre har produceret, og auditerer den.</w:t>
      </w:r>
    </w:p>
    <w:p>
      <w:pPr>
        <w:spacing w:after="120"/>
      </w:pPr>
      <w:r>
        <w:t xml:space="preserve">Positioneringen er bekræftet ved benchmark mod PwC, KPMG og Deloitte, der alle spiller end-to-end (data → beregning → filing) og ikke tilbyder et frittstående valideringslag. Værktøjet er søsterprodukt til SAF-T-validatoren på samme platform (balai.dk) og deler arkitektur, severity-model, central brugerstyring og driftsmodel.</w:t>
      </w:r>
    </w:p>
    <w:p>
      <w:pPr>
        <w:pStyle w:val="Heading1"/>
      </w:pPr>
      <w:r>
        <w:t xml:space="preserve">2. Dokumentationspakke</w:t>
      </w:r>
    </w:p>
    <w:p>
      <w:pPr>
        <w:spacing w:after="120"/>
      </w:pPr>
      <w:r>
        <w:t xml:space="preserve">Alle artefakter ligger versionsstyret i repoets docs/-mappe (koden i validator/, validation/ og tools/):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Indhold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Pillar2-Validator_Godkendelses-overblik.docx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Dette dokument — status og indgang til pakken.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Pillar2-Validator_Solution_Architecture.docx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Formål, scope, arkitektur, 8-lags model, regelmotor, referencedata, QA, hosting, åbne punkter.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Pillar2-Validator_Sikkerhed_og_databehandling.docx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Datakategorier, dataflow, inputhærdning, app-sikkerhed, trusselsmodel, GDPR.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Pillar2-Validator_Hosting_og_drift.docx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Nuværende vs. EY-platform, migrationsplan, env-inventar, backup, roller, support.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Pillar2-Validator_Regel-sporbarhedsmatrix.xlsx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Hver kontrol → OECD-kilde → modul → testdækning; fuldt katalog; referencedata-provenance; severity.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Pillar2-Validator_Valideringsrapport.md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Auto-genereret resultat af den uafhængige valideringssuite.</w:t>
            </w:r>
          </w:p>
        </w:tc>
      </w:tr>
    </w:tbl>
    <w:p>
      <w:pPr>
        <w:spacing w:after="120"/>
      </w:pPr>
      <w:r>
        <w:rPr>
          <w:i/>
          <w:iCs/>
        </w:rPr>
        <w:t xml:space="preserve">«Udkast» = skrevet efter best practice, men skal gennemgås/godkendes af de relevante funktioner og indpasses i EY's skabelon.</w:t>
      </w:r>
    </w:p>
    <w:p>
      <w:pPr>
        <w:pStyle w:val="Heading1"/>
      </w:pPr>
      <w:r>
        <w:t xml:space="preserve">3. Godkendelsesparathed pr. område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47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Område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Bemærkning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Skema-validering (lag 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Dækket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Direkte mod OECD's officielle GIR-XSD; XXE slået fra; testet.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Strukturel integritet (lag 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Dækket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Rod/MessageSpec/GLOBEBody/sektioner + CompanyContext-udtræk.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OECD-regelgrundlag (dokumentation)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Dækket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Alle 163 officielle regler udtrukket og klassificeret; 4 switched-off respekteres; provenance.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OECD-regelmotor (lag 3-4)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Dækket (voksende)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87/163 regler eksekverbare (19 beregningsregler); datadrevet motor dækker alle check-kategorier.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 &amp; adgang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Dækket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Central BALAI-brugerstyring (balai_auth): delt SSO på *.balai.dk, per-tool-adgang via slug 'pillar2', session/CSRF/rate-limit.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Uafhængig validering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Dækket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Valideringssuite: én planted defekt pr. eksekverbar kontrol (78/78 består), golden-GIR ren, gated i CI.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Sikkerhed (HTTP/input)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Dækket (review udestår)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Stram CSP uden CDN'er, HSTS, fuld header-pakke, XXE fra, parametreret. Fuld databehandlingsbeskrivelse skal review'es.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Guidance-afvigelser (lag 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Udkast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Switched-off-regler respekteres; AdditionalDataPoint-anerkendelse udestår.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GIR/QDMTT-kryds (lag 6)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Åbent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Kilde-agnostisk design klar; ikke implementeret.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Danske felt-regler (lag 7)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Åbent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Afventer afklaring mod Skattestyrelsen/DAC9.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Udkast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Kører på pillar2.balai.dk (Railway, midlertidig dev/demo); EY-platform er forudsætning for klientdata.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Testsuite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Dækket (voksende)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74 enhedstests + valideringssuite + lint-port.</w:t>
            </w:r>
          </w:p>
        </w:tc>
      </w:tr>
    </w:tbl>
    <w:p>
      <w:pPr>
        <w:pStyle w:val="Heading1"/>
      </w:pPr>
      <w:r>
        <w:t xml:space="preserve">4. Regeldækning (ærligt billede)</w:t>
      </w:r>
    </w:p>
    <w:p>
      <w:pPr>
        <w:spacing w:after="120"/>
      </w:pPr>
      <w:r>
        <w:t xml:space="preserve">Det officielle katalog rummer 163 regler. De er ikke alle beregnet til et fil-valideringsværktøj: en del er transmissions-/modtagerstatus eller afhænger af besked-/korrektionshistorik på tværs af indsendelser. Fordelingen 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000"/>
        <w:gridCol w:w="5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Antal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Forklaring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Eksekverbare kontroller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Kodet i regelmotoren og verificeret af valideringssuiten (én planted defekt pr. kontrol).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Dækket af ækvivalent regel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Samme semantik håndhæves allerede af en eksekverbar regel.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Kandidater (kan kodes)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Fil-validerbare regler der endnu ikke er kodet; kodes batch-vis.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Uden for scope (fil-validering)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Transmissions-/modtagerstatus, kryds-besked-/korrektionshistorik eller eksternt register.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Slået fra (2026-guidance)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Fyres aldrig jf. juni-2026-guidance.</w:t>
            </w:r>
          </w:p>
        </w:tc>
      </w:tr>
    </w:tbl>
    <w:p>
      <w:pPr>
        <w:spacing w:after="120"/>
      </w:pPr>
      <w:r>
        <w:rPr>
          <w:b/>
          <w:bCs/>
        </w:rPr>
        <w:t xml:space="preserve">Fil-validerbare regler i alt: 143 (katalog minus switched-off og uden-for-scope). Effektivt dækket: 92 (eksekverbare + ækvivalent) = 64 %. De resterende 51 kandidater kodes batch-vis. Den fulde klassifikation pr. regel ligger i sporbarhedsmatrixen (fane "Dækningsoverblik" + "Fuldt katalog").</w:t>
      </w:r>
    </w:p>
    <w:p>
      <w:pPr>
        <w:pStyle w:val="Heading1"/>
      </w:pPr>
      <w:r>
        <w:t xml:space="preserve">5. Åbne punkter (kræver EY / eksterne beslutninger)</w:t>
      </w:r>
    </w:p>
    <w:p>
      <w:pPr>
        <w:spacing w:after="120"/>
      </w:pPr>
      <w:r>
        <w:t xml:space="preserve">Disse kan ikke lukkes i koden alene — de kræver beslutninger, adgang eller eksterne parter: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Mapning mod EY's konkrete godkendelsesskabelon (denne pakke er skrevet efter best practice).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Platformsflytning til EY-godkendt infrastruktur (EU-dataplacering) + databehandleraftale (DPA).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Lag 5: AdditionalDataPoint-workarounds anerkendes som gyldige (juni-2026-guidance).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Lag 6 (GIR/QDMTT-kryds) mod en normaliseret QDMTT-model.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Lag 7 (danske felt-regler) verificeret mod Skattestyrelsen/Den juridiske vejledning C.K./DAC9.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Penetrationstest / sikkerhedsgennemgang af en uafhængig part; SOC 2 / ISO 27001 fra driftsplatformen.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Stress-test på rigtige klientfiler afstemt mod OECD's egen validator som facit.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Support- og vedligeholdelsesmodel samt rolle-/ansvarsbeskrivelse.</w:t>
      </w:r>
    </w:p>
    <w:p>
      <w:pPr>
        <w:pStyle w:val="Heading1"/>
      </w:pPr>
      <w:r>
        <w:t xml:space="preserve">6. Anbefalet rækkefølge mod godkendelse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Forelæg pakken for EY's tool-governance og få den konkrete godkendelsesskabelon.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Indpas de fire dokumenter + matrix/rapport i EY's skabelon og afklar manglende afsnit.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Aftal driftsplatform og igangsæt platformsflytning + DPA parallelt.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Kod de resterende eksekverbare regler batch-vis (matrix + valideringssuite holder sig selv ajour).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Stress-test mod rigtige GIR-filer; ret driftsfund ved roden.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Bestil penetrationstest og indstil til formel godkendelse, når åbne punkter er lukket eller planlagt.</w:t>
      </w:r>
    </w:p>
    <w:p>
      <w:pPr>
        <w:spacing w:after="120"/>
      </w:pPr>
      <w:r>
        <w:rPr>
          <w:b/>
          <w:bCs/>
        </w:rPr>
        <w:t xml:space="preserve">Status pr. 30. juni 2026: Værktøjet er på research-preview-niveau. Alt der kan lukkes i kode og dokumentation internt, er på plads (lag 1-4, central login, uafhængig valideringssuite). De resterende punkter er bevidst markeret som åbne, fordi de kræver EY-beslutninger, fagafklaring eller eksterne parter.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2026-06-30T12:19:17.552Z</dcterms:created>
  <dcterms:modified xsi:type="dcterms:W3CDTF">2026-06-30T12:19:17.552Z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