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Sikkerheds- og databehandlingsbeskrivelse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Grundlag for godkendelse — skal review'es af jura/databeskyttelse og sikkerhed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app- og inputsikkerhed er på plads; den fulde databehandlingsbeskrivelse (DPA, dataplacering, logning) skal gennemgås af de relevante funktioner.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p>
      <w:pPr>
        <w:spacing w:after="120"/>
      </w:pPr>
      <w:r>
        <w:t xml:space="preserve">En GIR indeholder følsomme koncern-/skatteoplysninger: enheds- og koncernnavne, TIN'er, jurisdiktioner, regnskabstal, effektiv skattesats og top-up tax. Behandles som fortroligt forretningsdata. Værktøjet behandler ikke persondata om privatpersoner som kerneformål, men TIN/navne kan forekomme. Den centrale brugerstyring behandler desuden persondata om brugerne (e-mail, login-/hændelseslog).</w:t>
      </w:r>
    </w:p>
    <w:p>
      <w:pPr>
        <w:pStyle w:val="Heading1"/>
      </w:pPr>
      <w:r>
        <w:t xml:space="preserve">2. Dataflow og dataminimering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Bruger logger ind via central BALAI-login og uploader en GIR-XML.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Filen gemmes midlertidigt under kørsel og slettes straks efter (ingen varig lagring af kildefilen i nuværende fase).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Resultatet vises som rapport i brugerens session. Der persisteres ikke klientdata i nuværende fase (historik/revisionslog kan tilføjes som i SAF-T, med retention-styring).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Ingen klientdata sendes til tredjeparter. Referencedata (skema/regler) er statiske, lokale filer — ingen eksterne opslag under validering.</w:t>
      </w:r>
    </w:p>
    <w:p>
      <w:pPr>
        <w:pStyle w:val="Heading1"/>
      </w:pPr>
      <w:r>
        <w:t xml:space="preserve">3. Inputhærdning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XXE slået fra: XML-parseren kører med resolve_entities=False og no_network=True — ingen ekstern entitetsopløsning, ingen netværksadgang fra parseren. Gælder well-formedness-, XSD- og regel-parsing.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Størrelse: upload-grænse via MAX_UPLOAD_MB; lxml huge_tree bruges kontrolleret.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Skema fra disk: XSD'er valideres fra lokale, versionerede filer (provenance m. sha256) — ikke fra netværket.</w:t>
      </w:r>
    </w:p>
    <w:p>
      <w:pPr>
        <w:pStyle w:val="Heading1"/>
      </w:pPr>
      <w:r>
        <w:t xml:space="preserve">4. Applikationssikkerhed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Content-Security-Policy uden CDN'er (kun 'self'; ingen ekstern script/style), samt X-Content-Type-Options, X-Frame-Options (DENY), Referrer-Policy, Permissions-Policy og HSTS.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Central login (balai_auth) på alle ruter undtagen sundhedstjek; per-tool-adgangstjek (slug 'pillar2'); CSRF-beskyttelse og databaseunderstøttet login-rate-limit.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SECRET_KEY påkrævet i produktion (fejler hurtigt hvis ikke sat); delt på tværs af *.balai.dk for 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Ingen råt brugerinput i filstier (midlertidige filer via tempfile).</w:t>
      </w:r>
    </w:p>
    <w:p>
      <w:pPr>
        <w:pStyle w:val="Heading1"/>
      </w:pPr>
      <w:r>
        <w:t xml:space="preserve">5. Trusselsmodel (resumé)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Trussel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Modforanstaltning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XXE / XML-bomber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resolve_entities=False, no_network, upload-grænse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Skadelig upload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 før behandling; kildefil slettes straks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Uautoriseret adgang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 + per-tool-adgangstjek; session m. 12t-grænse; rate-limit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Datalækage til tredjepart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Ingen eksterne kald under validering; statiske referencedata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Forældet skema afviser gyldige filer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+ provenance + selvtjek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Clickjacking/MIME-sniffing/XSS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Sikkerhedsheaders + stram CSP uden CDN'er</w:t>
            </w:r>
          </w:p>
        </w:tc>
      </w:tr>
    </w:tbl>
    <w:p>
      <w:pPr>
        <w:pStyle w:val="Heading1"/>
      </w:pPr>
      <w:r>
        <w:t xml:space="preserve">6. Åbne punkter (til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Behandlingsgrundlag/DPA og dataplacering (EU) — jura/DPO. Den delte brugerdatabase (persondata) skal ligge i EU-region.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Persistens/retention hvis historik tilføjes (env-styret, som SAF-T).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— fra driftsplatformen.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Logning/hændelseshåndtering — defineres med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2026-06-30T12:19:17.555Z</dcterms:created>
  <dcterms:modified xsi:type="dcterms:W3CDTF">2026-06-30T12:19:17.555Z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