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28"/>
          <w:szCs w:val="28"/>
        </w:rPr>
        <w:t xml:space="preserve">VAT Analytics</w:t>
      </w:r>
    </w:p>
    <w:p>
      <w:pPr>
        <w:spacing w:after="60"/>
      </w:pPr>
      <w:r>
        <w:rPr>
          <w:b/>
          <w:bCs/>
          <w:color w:val="1B365D"/>
          <w:sz w:val="44"/>
          <w:szCs w:val="44"/>
        </w:rPr>
        <w:t xml:space="preserve">Godkendelses-overblik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Forside- og statusdokument for værktøjsgodkendelse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Dette dokument er indgangen til pakken: det opsummerer hvad der findes, hvad der er dækket, og hvad der udestår. Det er skrevet efter best practice og skal indpasses i EY's konkrete godkendelsesskabelon.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Bal AI · 16. juni 2026 · katalogversion 1.0.0</w:t>
      </w:r>
    </w:p>
    <w:p>
      <w:r>
        <w:br w:type="page"/>
      </w:r>
    </w:p>
    <w:p>
      <w:pPr>
        <w:pStyle w:val="Heading1"/>
      </w:pPr>
      <w:r>
        <w:t xml:space="preserve">1. Produktet kort fortalt</w:t>
      </w:r>
    </w:p>
    <w:p>
      <w:pPr>
        <w:spacing w:after="120"/>
      </w:pPr>
      <w:r>
        <w:t xml:space="preserve">VAT Analytics er et webbaseret værktøj, der kører 103 automatiserede momskontroller (baseret på Skattestyrelsens kontrolmetoder) mod et momsdataudtræk fra en virksomheds bogføring (Excel/CSV). Kontrollerne er fordelt på 12 kategorier — fra transaktionsintegritet og dubletter over momssats, grænseoverskridende handel og reverse charge til afstemning, statistisk anomalidetektion, svindel/MTIC og e-handelssærordninger.</w:t>
      </w:r>
    </w:p>
    <w:p>
      <w:pPr>
        <w:spacing w:after="120"/>
      </w:pPr>
      <w:r>
        <w:t xml:space="preserve">For hvert fund angives en sporbar reference til den eller de berørte kildetransaktioner (bilag, dato, konto, beløb, det felt der udløste fundet), en impact-klassifikation (økonomisk, renterisiko eller compliance) og en sværhedsgrad. Resultatet præsenteres som en prioriteret liste frem for en mur af flag.</w:t>
      </w:r>
    </w:p>
    <w:p>
      <w:pPr>
        <w:spacing w:after="120"/>
      </w:pPr>
      <w:r>
        <w:t xml:space="preserve">Værktøjet behandler kundedata (selve momsudtrækket), men er bevidst designet som et kontrolværktøj — ikke et arkiv: inputfilen slettes straks efter kørslen, resultaterne holdes kun i hukommelsen for den enkelte kørsel, og revisionsloggen indeholder udelukkende metadata. Af de 103 kontroller er 98 aktive på et fladt bogføringsudtræk; de resterende 5 (test 82, 83, 85, 90, 99) er bevidst inaktive, fordi de kræver kildedata en flad eksport ikke bærer — hver med en dokumenteret beslutning.</w:t>
      </w:r>
    </w:p>
    <w:p>
      <w:pPr>
        <w:pStyle w:val="Heading1"/>
      </w:pPr>
      <w:r>
        <w:t xml:space="preserve">2. Dokumentationspakke</w:t>
      </w:r>
    </w:p>
    <w:p>
      <w:pPr>
        <w:spacing w:after="120"/>
      </w:pPr>
      <w:r>
        <w:t xml:space="preserve">Alle artefakter ligger versionsstyret i repoets docs/-mappe (og koden i backend/):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Indhold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VAT-Analytics_Godkendelses-overblik.docx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Dette dokument — status og indgang til pakken.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VAT-Analytics_Solution_Architecture.docx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Formål, scope, arkitektur, kontrol-/regelmodel, dataflow, QA, hosting, begrænsninger, åbne punkter.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VAT-Analytics_Sikkerhed_og_databehandling.docx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Datakategorier, dataflow, GDPR/ikke-arkiv, adgang, trusselsmodel, logning.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VAT-Analytics_Hosting_og_drift.docx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Nuværende drift (EU), EY-platform, migration, env-inventar, backup, CI, roller.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VAT-Analytics_Regel-sporbarhedsmatrix.xlsx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Kontrol → kilde → modul → test (auto-genereret fra regelkataloget).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VAT-Analytics_Sporbarhedsrapport.md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Dækningsrapport: aktive/inaktive, kilde- og testdækning.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VAT-Analytics_Valideringsrapport.md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Auto-genereret resultat af den uafhængige valideringssuite.</w:t>
            </w:r>
          </w:p>
        </w:tc>
      </w:tr>
    </w:tbl>
    <w:p>
      <w:pPr>
        <w:spacing w:after="120"/>
      </w:pPr>
      <w:r>
        <w:rPr>
          <w:i/>
          <w:iCs/>
        </w:rPr>
        <w:t xml:space="preserve">«Udkast» = skrevet efter best practice, men skal gennemgås/godkendes af de relevante funktioner og indpasses i EY's skabelon.</w:t>
      </w:r>
    </w:p>
    <w:p>
      <w:pPr>
        <w:pStyle w:val="Heading1"/>
      </w:pPr>
      <w:r>
        <w:t xml:space="preserve">3. Godkendelsesparathed pr. område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Område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Bemærkning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Arkitektur &amp; testbarhed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 kontrol-logik i en netværksfri pakke (backend/analytics/); tyndt FastAPI web-lag.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&amp; adgang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Session-auth (pbkdf2), /setup, invitationer, rate-limit, CSRF — porteret til FastAPI.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HTTP-sikkerhed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Stram CSP uden CDN'er/unsafe-*, HSTS, fuld header-pakke; UI er self-hostet.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Regelkatalog &amp; sporbarhed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Grøn*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Versioneret katalog (103 kontroller) + matrix. *Præcis momslov-kilde pr. kontrol pinnes af fagansvarlig.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Uafhængig validering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Valideringssuite: 98/98 aktive kontroller med plantet defekt, gated i CI.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Datapolitik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Ikke-arkiv: inputfil slettes efter kørsel; resultater kun i hukommelsen; audit kun metadata.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Importkontrakt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Grøn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Udvidet med ship_from/ship_to, adskilt faktura-/bogføringsdato og tax_base; drevet af delt feltkontrakt.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Drift / hosting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i EU (Railway, 1 worker/1 replica). Produktionsdrift på EY-platform er en forudsætning.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Stress-test på rigtige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Kørsel på et reelt klientudtræk (tæl røde → reelle) udestår.</w:t>
            </w:r>
          </w:p>
        </w:tc>
      </w:tr>
    </w:tbl>
    <w:p>
      <w:pPr>
        <w:pStyle w:val="Heading1"/>
      </w:pPr>
      <w:r>
        <w:t xml:space="preserve">4. Åbne punkter (kræver EY / eksterne / faglige beslutninger)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Mapning mod EY's konkrete godkendelsesskabelon (denne pakke er skrevet efter best practice).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Produktionsdrift på EY-godkendt infrastruktur (EU-dataplacering) + databehandleraftale.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Faglig pinning af præcis momslov-kilde pr. kontrol i regelkataloget (matricen viser i dag kategoriens retsområde).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Stress-test på et rigtigt klientudtræk; verificér at RØD = action krævet (tæl røde → reelle).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Uafhængig sikkerhedsgennemgang / penetrationstest.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Beslutning om de besluttede, endnu ikke byggede features for inaktive kontroller (82: angivelses-input; 83: delvis-fradragsret-toggle; 90: valgfrit betalingsdata).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Support- og vedligeholdelsesmodel samt rolle-/ansvarsbeskrivelse.</w:t>
      </w:r>
    </w:p>
    <w:p>
      <w:pPr>
        <w:pStyle w:val="Heading1"/>
      </w:pPr>
      <w:r>
        <w:t xml:space="preserve">5. Anbefalet rækkefølge mod godkendelse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Forelæg pakken for EY's tool-governance og få den konkrete godkendelsesskabelon.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Indpas de fire dokumenter + matrix/rapporter i EY's skabelon og afklar manglende afsnit.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Aftal driftsplatform og igangsæt platformsflytning + databehandleraftale parallelt.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Pin de præcise momslov-kilder pr. kontrol; matrix/rapport regenereres automatisk.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Stress-test mod rigtige klientudtræk; ret driftsfund ved roden og kalibrér materialitet.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Bestil penetrationstest og indstil til formel godkendelse, når åbne punkter er lukket eller planlagt.</w:t>
      </w:r>
    </w:p>
    <w:p>
      <w:pPr>
        <w:spacing w:after="120"/>
      </w:pPr>
      <w:r>
        <w:rPr>
          <w:b/>
          <w:bCs/>
        </w:rPr>
        <w:t xml:space="preserve">Status pr. 16. juni 2026: Alt der kan lukkes i kode og dokumentation internt, er på plads — versioneret regelkatalog, sporbarhedsmatrix, uafhængig valideringssuite (98/98 gated i CI), porteret session-auth, stram HTTP-sikkerhed, udvidet importkontrakt og drift i EU. De resterende punkter er bevidst markeret som åbne, fordi de kræver EY-beslutninger, faglig pinning eller eksterne parter.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365D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b/>
      <w:bCs/>
      <w:color w:val="2E5C8A"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2026-06-18T20:12:37.825Z</dcterms:created>
  <dcterms:modified xsi:type="dcterms:W3CDTF">2026-06-18T20:12:37.825Z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