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B365D"/>
          <w:sz w:val="28"/>
          <w:szCs w:val="28"/>
        </w:rPr>
        <w:t xml:space="preserve">VAT Analytics</w:t>
      </w:r>
    </w:p>
    <w:p>
      <w:pPr>
        <w:spacing w:after="60"/>
      </w:pPr>
      <w:r>
        <w:rPr>
          <w:b/>
          <w:bCs/>
          <w:color w:val="1B365D"/>
          <w:sz w:val="44"/>
          <w:szCs w:val="44"/>
        </w:rPr>
        <w:t xml:space="preserve">Sikkerhed og databehandling</w:t>
      </w:r>
    </w:p>
    <w:p>
      <w:pPr>
        <w:spacing w:after="200"/>
      </w:pPr>
      <w:r>
        <w:rPr>
          <w:i/>
          <w:iCs/>
          <w:color w:val="555555"/>
          <w:sz w:val="24"/>
          <w:szCs w:val="24"/>
        </w:rPr>
        <w:t xml:space="preserve">Datakategorier, dataflow, GDPR, adgang og logning</w:t>
      </w:r>
    </w:p>
    <w:p>
      <w:pPr>
        <w:spacing w:after="120"/>
      </w:pPr>
      <w:r>
        <w:rPr>
          <w:color w:val="555555"/>
          <w:sz w:val="20"/>
          <w:szCs w:val="20"/>
        </w:rPr>
        <w:t xml:space="preserve">Best practice-grundlag. Den centrale pointe er, at værktøjet er et kontrolværktøj — ikke et arkiv: kundedata behandles kun under selve kørslen og efterlades ikke.</w:t>
      </w:r>
    </w:p>
    <w:p>
      <w:pPr>
        <w:spacing w:after="120"/>
      </w:pPr>
      <w:r>
        <w:rPr>
          <w:color w:val="777777"/>
          <w:sz w:val="20"/>
          <w:szCs w:val="20"/>
        </w:rPr>
        <w:t xml:space="preserve">Bal AI · 16. juni 2026 · katalogversion 1.0.0</w:t>
      </w:r>
    </w:p>
    <w:p>
      <w:r>
        <w:br w:type="page"/>
      </w:r>
    </w:p>
    <w:p>
      <w:pPr>
        <w:pStyle w:val="Heading1"/>
      </w:pPr>
      <w:r>
        <w:t xml:space="preserve">1. Datakategorier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Kategori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Indhold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Opbevaring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Kundedata (momsudtræk)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Den uploadede Excel/CSV med transaktioner — kan indeholde modparts-navne, momsnumre m.v.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Slettes straks efter kørslen.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Analyseresultat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Fund + sporbarhed til kildetransaktioner, genereret for kørslen.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Kun i hukommelsen; persisteres ikke til disk.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Auth-data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Brugernavne + saltede password-hashes (pbkdf2), roller, invitationer.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SQLite på persistent EU-volumen.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Revisionslog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Kun metadata: hændelse, aktør, tidspunkt, IP, filstørrelse, udfald.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SQLite, append-only, EU-volumen.</w:t>
            </w:r>
          </w:p>
        </w:tc>
      </w:tr>
    </w:tbl>
    <w:p>
      <w:pPr>
        <w:pStyle w:val="Heading1"/>
      </w:pPr>
      <w:r>
        <w:t xml:space="preserve">2. Dataflow</w:t>
      </w:r>
    </w:p>
    <w:p>
      <w:pPr>
        <w:spacing w:after="120"/>
      </w:pPr>
      <w:r>
        <w:t xml:space="preserve">Brugeren logger ind og uploader et momsudtræk. Filen gemmes midlertidigt med et tilfældigt (UUID-baseret) filnavn under en valideret upload-mappe, parses og analyseres (synkront for små filer, som asynkront baggrundsjob for store). Resultatet vises i browseren. Inputfilen slettes straks efter kørslen (også ved fejl), og resultatet holdes kun i hukommelsen for kørslen — det skrives ikke til disk og arkiveres ikke.</w:t>
      </w:r>
    </w:p>
    <w:p>
      <w:pPr>
        <w:pStyle w:val="Heading1"/>
      </w:pPr>
      <w:r>
        <w:t xml:space="preserve">3. Databeskyttelse (GDPR) — ikke-arkiv-princippet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Dataminimering: kundedata behandles kun under kørslen. Inputfilen slettes straks efter, og resultater persisteres ikke.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Personhenførbare data i udtrækket (fx modparts-navne/momsnumre) opbevares ikke efter kørslen.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 eneste vedvarende persondata er brugerkonti (navn/brugernavn) og revisionslog-metadata til adgangsstyring og governance — begge på et EU-volumen.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Passwords gemmes kun som saltede hashes (pbkdf2:sha256). Revisionsloggen indeholder aldrig momsdata/kundedata — kun metadata.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Transport sker over HTTPS. Databehandleraftale og endelig dataplacering fastlægges af driftsplatformen (EY).</w:t>
      </w:r>
    </w:p>
    <w:p>
      <w:pPr>
        <w:pStyle w:val="Heading1"/>
      </w:pPr>
      <w:r>
        <w:t xml:space="preserve">4. Adgang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Adgang kræver login. Første kørsel opretter administrator via en /setup-side; yderligere brugere oprettes via tidsbegrænsede engangs-invitationslinks. Adskilte roller (administrator/bruger).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Der findes ingen credentials i kode eller miljøvariabler — den tidligere hardcodede HTTP Basic Auth er fjernet.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Adgangskoder gemmes som saltede hashes (pbkdf2:sha256, stdlib). Login er timing-sikkert og beskyttet af rate limiting (pr. bruger og pr. IP) i SQLite.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Alle tilstandsændrende handlinger er CSRF-beskyttede (session-token, konstant-tid-sammenligning; header eller form-felt).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Analyse-API'erne kræver login; uautoriserede kald får 401 (API) eller omdirigeres til login (web).</w:t>
      </w:r>
    </w:p>
    <w:p>
      <w:pPr>
        <w:pStyle w:val="Heading1"/>
      </w:pPr>
      <w:r>
        <w:t xml:space="preserve">5. HTTP-sikkerhed</w:t>
      </w:r>
    </w:p>
    <w:p>
      <w:pPr>
        <w:spacing w:after="120"/>
      </w:pPr>
      <w:r>
        <w:t xml:space="preserve">Alle svar bærer en stram Content-Security-Policy uden CDN'er og uden 'unsafe-inline'/'unsafe-eval' — alle aktiver (CSS/JS) er self-hostet, og det dynamiske UI bruger event-delegation frem for inline-handlers. Desuden sættes X-Content-Type-Options (nosniff), X-Frame-Options (DENY), Referrer-Policy, Permissions-Policy og Strict-Transport-Security (HSTS). Session-cookies er HttpOnly, SameSite=Lax og Secure i produktion. Runtime-afhængigheder er versionspinnede og scannes med pip-audit i CI.</w:t>
      </w:r>
    </w:p>
    <w:p>
      <w:pPr>
        <w:pStyle w:val="Heading1"/>
      </w:pPr>
      <w:r>
        <w:t xml:space="preserve">6. Trusselsmodel (resumé)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Læk af kundedata efter kørsel: afbødet af ikke-arkiv-princippet — inputfil slettes, resultater persisteres ikke.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Path traversal ved upload: filnavne saniteres og erstattes af UUID; den resolverede sti verificeres at ligge i upload-mappen; filtype og -størrelse valideres.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XSS i resultat-UI: data renderes via tekst-escaping og event-delegation under stram CSP (ingen inline scripts).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Brute force mod login: afbødet af rate limiting (pr. bruger/IP) + timing-sikker verifikation.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Kompromittering af auth-db: passwords er kun hashes; admin-backup bruger SQLites konsistente backup-API og kræver admin + CSRF.</w:t>
      </w:r>
    </w:p>
    <w:p>
      <w:pPr>
        <w:pStyle w:val="Heading1"/>
      </w:pPr>
      <w:r>
        <w:t xml:space="preserve">7. Revisionslog</w:t>
      </w:r>
    </w:p>
    <w:p>
      <w:pPr>
        <w:spacing w:after="120"/>
      </w:pPr>
      <w:r>
        <w:t xml:space="preserve">En append-only revisionslog (egen SQLite-database) registrerer sikkerhedsrelevante hændelser — login (succes/fejl/lockout), logout, oprettelse af administrator/invitationer, brugeradministration og analysekørsler — som metadata (hvem, hvornår, filstørrelse, udfald). Den giver et governance-egnet «hvem gjorde hvad, hvornår»-spor og indeholder aldrig momsnumre, beløb, navne eller andet kundedata.</w:t>
      </w:r>
    </w:p>
    <w:p>
      <w:pPr>
        <w:pStyle w:val="Heading1"/>
      </w:pPr>
      <w:r>
        <w:t xml:space="preserve">8. Underdatabehandlere og åbne punkter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Driftsplatform/hosting: Railway (EU-region) til dev/demo; produktionsplatform fastlægges som led i EY-flytningen (databehandleraftale).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Penetrationstest / uafhængig sikkerhedsgennemgang udestår.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Formel retention-/sletteproces for auth- og audit-data fastlægges med EY (inputdata slettes allerede pr. kørsel).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40"/>
      <w:outlineLvl w:val="0"/>
    </w:pPr>
    <w:rPr>
      <w:b/>
      <w:bCs/>
      <w:color w:val="1B365D"/>
      <w:sz w:val="30"/>
      <w:szCs w:val="30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b/>
      <w:bCs/>
      <w:color w:val="2E5C8A"/>
      <w:sz w:val="25"/>
      <w:szCs w:val="25"/>
      <w:rFonts w:ascii="Arial" w:cs="Arial" w:eastAsia="Arial" w:hAnsi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2026-06-16T21:23:58.971Z</dcterms:created>
  <dcterms:modified xsi:type="dcterms:W3CDTF">2026-06-16T21:23:58.971Z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