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365D"/>
          <w:sz w:val="28"/>
          <w:szCs w:val="28"/>
        </w:rPr>
        <w:t xml:space="preserve">VAT Analytics</w:t>
      </w:r>
    </w:p>
    <w:p>
      <w:pPr>
        <w:spacing w:after="60"/>
      </w:pPr>
      <w:r>
        <w:rPr>
          <w:b/>
          <w:bCs/>
          <w:color w:val="1B365D"/>
          <w:sz w:val="44"/>
          <w:szCs w:val="44"/>
        </w:rPr>
        <w:t xml:space="preserve">Løsnings- og arkitekturbeskrivelse</w:t>
      </w:r>
    </w:p>
    <w:p>
      <w:pPr>
        <w:spacing w:after="200"/>
      </w:pPr>
      <w:r>
        <w:rPr>
          <w:i/>
          <w:iCs/>
          <w:color w:val="555555"/>
          <w:sz w:val="24"/>
          <w:szCs w:val="24"/>
        </w:rPr>
        <w:t xml:space="preserve">Grundlag for produkt-/værktøjsgodkendelse</w:t>
      </w:r>
    </w:p>
    <w:p>
      <w:pPr>
        <w:spacing w:after="120"/>
      </w:pPr>
      <w:r>
        <w:rPr>
          <w:color w:val="555555"/>
          <w:sz w:val="20"/>
          <w:szCs w:val="20"/>
        </w:rPr>
        <w:t xml:space="preserve">Bemærk: Dette dokument er udarbejdet som et best practice-grundlag og er endnu ikke mappet mod EY's konkrete godkendelsesskabelon. Afsnit 13 lister de åbne punkter.</w:t>
      </w:r>
    </w:p>
    <w:p>
      <w:pPr>
        <w:spacing w:after="120"/>
      </w:pPr>
      <w:r>
        <w:rPr>
          <w:color w:val="777777"/>
          <w:sz w:val="20"/>
          <w:szCs w:val="20"/>
        </w:rPr>
        <w:t xml:space="preserve">Bal AI · 16. juni 2026 · katalogversion 1.0.0</w:t>
      </w:r>
    </w:p>
    <w:p>
      <w:r>
        <w:br w:type="page"/>
      </w:r>
    </w:p>
    <w:p>
      <w:pPr>
        <w:pStyle w:val="Heading1"/>
      </w:pPr>
      <w:r>
        <w:t xml:space="preserve">1. Introduktion og formål</w:t>
      </w:r>
    </w:p>
    <w:p>
      <w:pPr>
        <w:spacing w:after="120"/>
      </w:pPr>
      <w:r>
        <w:t xml:space="preserve">VAT Analytics er et software-værktøj, der analyserer et momsdataudtræk fra en virksomheds bogføring og kører 103 automatiserede momskontroller imod det. Værktøjet er målrettet revisorer, controllere og momskonsulenter, der skal kvalitetssikre en virksomheds momsbehandling og afdække fejl, risici og indikationer på svindel.</w:t>
      </w:r>
    </w:p>
    <w:p>
      <w:pPr>
        <w:spacing w:after="120"/>
      </w:pPr>
      <w:r>
        <w:t xml:space="preserve">Dette dokument beskriver værktøjets arkitektur, kontrol- og regelmodel, datahåndtering, sikkerhed, kvalitetssikring og driftsmodel, som grundlag for en formel værktøjsgodkendelse. Det ledsages af en separat regel-sporbarhedsmatrix (Excel), der for hver kontrol angiver dens retsområde/kilde, det modul der håndhæver den, og den test der dækker den.</w:t>
      </w:r>
    </w:p>
    <w:p>
      <w:pPr>
        <w:pStyle w:val="Heading1"/>
      </w:pPr>
      <w:r>
        <w:t xml:space="preserve">2. Kerneudfordring</w:t>
      </w:r>
    </w:p>
    <w:p>
      <w:pPr>
        <w:spacing w:after="120"/>
      </w:pPr>
      <w:r>
        <w:t xml:space="preserve">Den dominerende udfordring er korrekthed og sporbarhed: at de beregninger og aggregater værktøjet udleder er korrekte, og at hvert fund kan spores fra det rapporterede tal tilbage til den konkrete kildetransaktion. Hertil kommer materialitet (at et rødt flag reelt betyder «action krævet», ikke støj) og inputdatakvalitet/-bredde (at kontrollerne fodres med de rette felter frem for at gætte). Designprincippet er konservativt: en kontrol fyrer kun, når data understøtter det, så falske alarmer undgås.</w:t>
      </w:r>
    </w:p>
    <w:p>
      <w:pPr>
        <w:pStyle w:val="Heading1"/>
      </w:pPr>
      <w:r>
        <w:t xml:space="preserve">3. Afgrænsning (scope)</w:t>
      </w:r>
    </w:p>
    <w:p>
      <w:pPr>
        <w:pStyle w:val="Heading2"/>
      </w:pPr>
      <w:r>
        <w:t xml:space="preserve">3.1 I scope</w:t>
      </w:r>
    </w:p>
    <w:p>
      <w:pPr>
        <w:pStyle w:val="ListParagraph"/>
        <w:numPr>
          <w:ilvl w:val="0"/>
          <w:numId w:val="2"/>
        </w:numPr>
        <w:spacing w:after="60"/>
      </w:pPr>
      <w:r>
        <w:t xml:space="preserve">103 momskontroller i 12 kategorier (heraf 98 aktive på et fladt bogføringsudtræk).</w:t>
      </w:r>
    </w:p>
    <w:p>
      <w:pPr>
        <w:pStyle w:val="ListParagraph"/>
        <w:numPr>
          <w:ilvl w:val="0"/>
          <w:numId w:val="2"/>
        </w:numPr>
        <w:spacing w:after="60"/>
      </w:pPr>
      <w:r>
        <w:t xml:space="preserve">Import af momsudtræk fra Excel/CSV med fleksibel, alias-baseret kolonnegenkendelse (dansk + engelsk + ERP-navne).</w:t>
      </w:r>
    </w:p>
    <w:p>
      <w:pPr>
        <w:pStyle w:val="ListParagraph"/>
        <w:numPr>
          <w:ilvl w:val="0"/>
          <w:numId w:val="2"/>
        </w:numPr>
        <w:spacing w:after="60"/>
      </w:pPr>
      <w:r>
        <w:t xml:space="preserve">En prioriteret findings-rapport med impact-/sværhedsklassifikation og sporbarhed til kildetransaktioner.</w:t>
      </w:r>
    </w:p>
    <w:p>
      <w:pPr>
        <w:pStyle w:val="ListParagraph"/>
        <w:numPr>
          <w:ilvl w:val="0"/>
          <w:numId w:val="2"/>
        </w:numPr>
        <w:spacing w:after="60"/>
      </w:pPr>
      <w:r>
        <w:t xml:space="preserve">Et versioneret regelkatalog + en uafhængig valideringssuite (plantet defekt pr. kontrol), gated i CI.</w:t>
      </w:r>
    </w:p>
    <w:p>
      <w:pPr>
        <w:pStyle w:val="Heading2"/>
      </w:pPr>
      <w:r>
        <w:t xml:space="preserve">3.2 Uden for scope</w:t>
      </w:r>
    </w:p>
    <w:p>
      <w:pPr>
        <w:pStyle w:val="ListParagraph"/>
        <w:numPr>
          <w:ilvl w:val="0"/>
          <w:numId w:val="2"/>
        </w:numPr>
        <w:spacing w:after="60"/>
      </w:pPr>
      <w:r>
        <w:t xml:space="preserve">Værktøjet afgiver ikke en endelig momsfaglig konklusion; det leverer kvalificerede fund til revisorens/konsulentens vurdering.</w:t>
      </w:r>
    </w:p>
    <w:p>
      <w:pPr>
        <w:pStyle w:val="ListParagraph"/>
        <w:numPr>
          <w:ilvl w:val="0"/>
          <w:numId w:val="2"/>
        </w:numPr>
        <w:spacing w:after="60"/>
      </w:pPr>
      <w:r>
        <w:t xml:space="preserve">5 kontroller (test 82, 83, 85, 90, 99) er inaktive på et fladt udtræk og kræver enten ekstra kildedata eller falder uden for en single-entity-analyse (se afsnit 12).</w:t>
      </w:r>
    </w:p>
    <w:p>
      <w:pPr>
        <w:pStyle w:val="ListParagraph"/>
        <w:numPr>
          <w:ilvl w:val="0"/>
          <w:numId w:val="2"/>
        </w:numPr>
        <w:spacing w:after="60"/>
      </w:pPr>
      <w:r>
        <w:t xml:space="preserve">Selve udtrækket fra ERP-systemet foretages uden for værktøjet (se søsterværktøjet Data Extract).</w:t>
      </w:r>
    </w:p>
    <w:p>
      <w:pPr>
        <w:pStyle w:val="Heading1"/>
      </w:pPr>
      <w:r>
        <w:t xml:space="preserve">4. Arkitekturoverblik</w:t>
      </w:r>
    </w:p>
    <w:p>
      <w:pPr>
        <w:spacing w:after="120"/>
      </w:pPr>
      <w:r>
        <w:t xml:space="preserve">Værktøjet er en web-applikation i Python (FastAPI) med et bevidst tyndt web-lag. Al kontrol-logik ligger i en testbar pakke (backend/analytics/) uden netværksafhængighed, så den kan valideres deterministisk i CI. Importlaget (backend/parsers/) genkender kolonner og tilpasser de flade rækker til den linje-/transaktionsstruktur, motoren forventer.</w:t>
      </w:r>
    </w:p>
    <w:p>
      <w:pPr>
        <w:pStyle w:val="Heading2"/>
      </w:pPr>
      <w:r>
        <w:t xml:space="preserve">4.1 Teknologistak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Lag</w:t>
            </w:r>
          </w:p>
        </w:tc>
        <w:tc>
          <w:tcPr>
            <w:tcW w:type="dxa" w:w="696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Teknologi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Web-lag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3.12 + FastAPI/uvicorn (ruter, jobstyring, auth, sikkerhedsheaders)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Kontrol-logik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backend/analytics/: engine + 12 kategorimoduler + delte momsregler (ren Python)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backend/parsers/: excel_parser (kolonne-aliaser) + data_adapter (SAF-T-lignende struktur)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Auth/governance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Session-auth (Starlette SessionMiddleware) + revisionslog (SQLite), porteret fra SAF-T/VIES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Self-hostet HTML/CSS/JS (ingen CDN'er); resultater renderes via event-delegation under stram CSP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 Actions: pytest + katalogvalidering + uafhængig valideringssuite (gated) + pip-audit</w:t>
            </w:r>
          </w:p>
        </w:tc>
      </w:tr>
    </w:tbl>
    <w:p>
      <w:pPr>
        <w:pStyle w:val="Heading2"/>
      </w:pPr>
      <w:r>
        <w:t xml:space="preserve">4.2 Komponenter</w:t>
      </w:r>
    </w:p>
    <w:p>
      <w:pPr>
        <w:pStyle w:val="ListParagraph"/>
        <w:numPr>
          <w:ilvl w:val="0"/>
          <w:numId w:val="2"/>
        </w:numPr>
        <w:spacing w:after="60"/>
      </w:pPr>
      <w:r>
        <w:t xml:space="preserve">backend/analytics/engine.py — orkestrerer alle kontroller og bygger den klassificerede rapport (scores, impact, severity).</w:t>
      </w:r>
    </w:p>
    <w:p>
      <w:pPr>
        <w:pStyle w:val="ListParagraph"/>
        <w:numPr>
          <w:ilvl w:val="0"/>
          <w:numId w:val="2"/>
        </w:numPr>
        <w:spacing w:after="60"/>
      </w:pPr>
      <w:r>
        <w:t xml:space="preserve">backend/analytics/categories/cat01–cat12 — de 12 kategorimoduler med kontrollerne.</w:t>
      </w:r>
    </w:p>
    <w:p>
      <w:pPr>
        <w:pStyle w:val="ListParagraph"/>
        <w:numPr>
          <w:ilvl w:val="0"/>
          <w:numId w:val="2"/>
        </w:numPr>
        <w:spacing w:after="60"/>
      </w:pPr>
      <w:r>
        <w:t xml:space="preserve">backend/analytics/vat_rules.py — delte danske momsregler/helpers (satser, EU-lande, momsnr-format, CVR mod-11, statistik).</w:t>
      </w:r>
    </w:p>
    <w:p>
      <w:pPr>
        <w:pStyle w:val="ListParagraph"/>
        <w:numPr>
          <w:ilvl w:val="0"/>
          <w:numId w:val="2"/>
        </w:numPr>
        <w:spacing w:after="60"/>
      </w:pPr>
      <w:r>
        <w:t xml:space="preserve">backend/parsers/ — excel_parser.py (import + alias-genkendelse) og data_adapter.py (struktur + tax_base).</w:t>
      </w:r>
    </w:p>
    <w:p>
      <w:pPr>
        <w:pStyle w:val="ListParagraph"/>
        <w:numPr>
          <w:ilvl w:val="0"/>
          <w:numId w:val="2"/>
        </w:numPr>
        <w:spacing w:after="60"/>
      </w:pPr>
      <w:r>
        <w:t xml:space="preserve">backend/catalog/ — versioneret rules.json + rule_notes.json (kilde/test/beslutninger).</w:t>
      </w:r>
    </w:p>
    <w:p>
      <w:pPr>
        <w:pStyle w:val="ListParagraph"/>
        <w:numPr>
          <w:ilvl w:val="0"/>
          <w:numId w:val="2"/>
        </w:numPr>
        <w:spacing w:after="60"/>
      </w:pPr>
      <w:r>
        <w:t xml:space="preserve">backend/validation/ — uafhængig valideringssuite (ren/defekt-scenarie pr. kontrol).</w:t>
      </w:r>
    </w:p>
    <w:p>
      <w:pPr>
        <w:pStyle w:val="ListParagraph"/>
        <w:numPr>
          <w:ilvl w:val="0"/>
          <w:numId w:val="2"/>
        </w:numPr>
        <w:spacing w:after="60"/>
      </w:pPr>
      <w:r>
        <w:t xml:space="preserve">backend/tools/ — generatorer: build_rules_catalog.py, build_traceability.py, build_approval_docs.js.</w:t>
      </w:r>
    </w:p>
    <w:p>
      <w:pPr>
        <w:pStyle w:val="Heading1"/>
      </w:pPr>
      <w:r>
        <w:t xml:space="preserve">5. Behandlingsmodel og dataflow</w:t>
      </w:r>
    </w:p>
    <w:p>
      <w:pPr>
        <w:pStyle w:val="ListParagraph"/>
        <w:numPr>
          <w:ilvl w:val="0"/>
          <w:numId w:val="3"/>
        </w:numPr>
        <w:spacing w:after="60"/>
      </w:pPr>
      <w:r>
        <w:t xml:space="preserve">Brugeren logger ind og uploader et momsudtræk (Excel/CSV). Små filer analyseres synkront; store filer (≥50 MB, op til 2 GB) kører som et asynkront baggrundsjob med statuspolling.</w:t>
      </w:r>
    </w:p>
    <w:p>
      <w:pPr>
        <w:pStyle w:val="ListParagraph"/>
        <w:numPr>
          <w:ilvl w:val="0"/>
          <w:numId w:val="3"/>
        </w:numPr>
        <w:spacing w:after="60"/>
      </w:pPr>
      <w:r>
        <w:t xml:space="preserve">Importlaget genkender kolonnerne (alias-baseret) og tilpasser rækkerne til transaktions-/linjestruktur.</w:t>
      </w:r>
    </w:p>
    <w:p>
      <w:pPr>
        <w:pStyle w:val="ListParagraph"/>
        <w:numPr>
          <w:ilvl w:val="0"/>
          <w:numId w:val="3"/>
        </w:numPr>
        <w:spacing w:after="60"/>
      </w:pPr>
      <w:r>
        <w:t xml:space="preserve">Motoren kører alle kontroller og bygger en rapport med fund, impact-/sværhedsklassifikation og sporbarhed til kildetransaktioner.</w:t>
      </w:r>
    </w:p>
    <w:p>
      <w:pPr>
        <w:pStyle w:val="ListParagraph"/>
        <w:numPr>
          <w:ilvl w:val="0"/>
          <w:numId w:val="3"/>
        </w:numPr>
        <w:spacing w:after="60"/>
      </w:pPr>
      <w:r>
        <w:t xml:space="preserve">Resultatet vises i browseren. Inputfilen slettes straks efter kørslen; resultatet holdes kun i hukommelsen for kørslen og persisteres ikke til disk.</w:t>
      </w:r>
    </w:p>
    <w:p>
      <w:pPr>
        <w:spacing w:after="120"/>
      </w:pPr>
      <w:r>
        <w:t xml:space="preserve">Jobtilstand holdes in-memory, hvilket bevidst binder driften til én proces/instans (se Hosting og drift). Det understøtter dataminimering: ingen kundedata efterlades på disk efter kørslen.</w:t>
      </w:r>
    </w:p>
    <w:p>
      <w:pPr>
        <w:pStyle w:val="Heading1"/>
      </w:pPr>
      <w:r>
        <w:t xml:space="preserve">6. Kontrol- og regelmodel</w:t>
      </w:r>
    </w:p>
    <w:p>
      <w:pPr>
        <w:spacing w:after="120"/>
      </w:pPr>
      <w:r>
        <w:t xml:space="preserve">Kontrollerne er katalogiseret i et versioneret regelkatalog (catalog/rules.json, katalogversion 1.0.0), der auto-genereres direkte fra de 103 kontrolfunktioner i koden — så kataloget aldrig kan drifte fra implementeringen. Hver post bærer: id, kategori, impact-type, sværhedsgrad, status (aktiv/inaktiv), modul, funktion samt felterne kilde (retsområde/paragraf) og test (dækkende valideringstest). For inaktive kontroller registreres desuden afhængighed og en eksplicit scope-beslutning.</w:t>
      </w:r>
    </w:p>
    <w:p>
      <w:pPr>
        <w:spacing w:after="120"/>
      </w:pPr>
      <w:r>
        <w:t xml:space="preserve">Sporbarhedsmatricen (Excel) og dækningsrapporten genereres fra kataloget, så kontrol → kilde → modul → test holder sig synkront. Resultatmodellen skelner mellem et fagligt fund og en teknisk fejl: kontrollerne «springer pænt over», når data mangler, frem for at producere falske positiver.</w:t>
      </w:r>
    </w:p>
    <w:p>
      <w:pPr>
        <w:pStyle w:val="Heading1"/>
      </w:pPr>
      <w:r>
        <w:t xml:space="preserve">7. Uafhængig valideringssuite</w:t>
      </w:r>
    </w:p>
    <w:p>
      <w:pPr>
        <w:spacing w:after="120"/>
      </w:pPr>
      <w:r>
        <w:t xml:space="preserve">Hver aktiv kontrol har et scenarie med en REN baseline (kontrollen må ikke fyre) og en DEFEKT variant med én plantet defekt (kontrollen SKAL fyre). Det beviser både følsomhed (defekten fanges) og fravær af falske alarmer (ren baseline er tavs). Suiten dækker alle 98 aktive kontroller og køres som en gated portbevogter i CI sammen med den øvrige testsuite.</w:t>
      </w:r>
    </w:p>
    <w:p>
      <w:pPr>
        <w:pStyle w:val="Heading1"/>
      </w:pPr>
      <w:r>
        <w:t xml:space="preserve">8. Determinisme, versionering og reproducerbarhed</w:t>
      </w:r>
    </w:p>
    <w:p>
      <w:pPr>
        <w:pStyle w:val="ListParagraph"/>
        <w:numPr>
          <w:ilvl w:val="0"/>
          <w:numId w:val="2"/>
        </w:numPr>
        <w:spacing w:after="60"/>
      </w:pPr>
      <w:r>
        <w:t xml:space="preserve">Regelkataloget er versioneret (catalog_version) og auto-genereres fra koden via tools/build_rules_catalog.py.</w:t>
      </w:r>
    </w:p>
    <w:p>
      <w:pPr>
        <w:pStyle w:val="ListParagraph"/>
        <w:numPr>
          <w:ilvl w:val="0"/>
          <w:numId w:val="2"/>
        </w:numPr>
        <w:spacing w:after="60"/>
      </w:pPr>
      <w:r>
        <w:t xml:space="preserve">Sporbarhedsmatrix, sporbarhedsrapport og valideringsrapport genereres deterministisk fra kataloget/suiten.</w:t>
      </w:r>
    </w:p>
    <w:p>
      <w:pPr>
        <w:pStyle w:val="ListParagraph"/>
        <w:numPr>
          <w:ilvl w:val="0"/>
          <w:numId w:val="2"/>
        </w:numPr>
        <w:spacing w:after="60"/>
      </w:pPr>
      <w:r>
        <w:t xml:space="preserve">Runtime-afhængigheder er versionspinnede; runtime og test er adskilt (requirements.txt vs. requirements-dev.txt).</w:t>
      </w:r>
    </w:p>
    <w:p>
      <w:pPr>
        <w:pStyle w:val="ListParagraph"/>
        <w:numPr>
          <w:ilvl w:val="0"/>
          <w:numId w:val="2"/>
        </w:numPr>
        <w:spacing w:after="60"/>
      </w:pPr>
      <w:r>
        <w:t xml:space="preserve">Alt er i git; ændringer er sporbare via commits, og katalogintegriteten gates i CI.</w:t>
      </w:r>
    </w:p>
    <w:p>
      <w:pPr>
        <w:pStyle w:val="Heading1"/>
      </w:pPr>
      <w:r>
        <w:t xml:space="preserve">9. Importkontrakt og inputdatabredde</w:t>
      </w:r>
    </w:p>
    <w:p>
      <w:pPr>
        <w:spacing w:after="120"/>
      </w:pPr>
      <w:r>
        <w:t xml:space="preserve">Importen genkender et bredt sæt kolonnenavne (danske, engelske og ERP-specifikke aliaser) drevet af et delt kanonisk feltkontrakt med søsterværktøjet Data Extract. Kontrakten er udvidet med tre selvstændige, prioriterede vareflow-/datofelter: ship_from_country og ship_to_country (forsendelsesland) samt en fakturadato adskilt fra bogføringsdatoen. Hertil et importerbart momsgrundlag (tax_base), der foretrækkes over det udledte, når kilden leverer det.</w:t>
      </w:r>
    </w:p>
    <w:p>
      <w:pPr>
        <w:spacing w:after="120"/>
      </w:pPr>
      <w:r>
        <w:t xml:space="preserve">Udvidelsen aktiverer kontroller, der ellers ville hvile på heuristik: place-of-supply/trekantshandel (kontrol 36) kan nu fange fx uberettiget nulrating, når en vare ikke forlader Danmark men sælges til udlandet, samt levering til et andet land end modparten; og faktura/bogførings-lag (kontrol 46) kan afdække periodiseringsrisiko.</w:t>
      </w:r>
    </w:p>
    <w:p>
      <w:pPr>
        <w:pStyle w:val="Heading1"/>
      </w:pPr>
      <w:r>
        <w:t xml:space="preserve">10. Sikkerhed og databehandling (resumé)</w:t>
      </w:r>
    </w:p>
    <w:p>
      <w:pPr>
        <w:spacing w:after="120"/>
      </w:pPr>
      <w:r>
        <w:t xml:space="preserve">Adgang kræver login (session-auth, pbkdf2, /setup ved første kørsel, invitationer, roller, rate-limit, CSRF). Alle svar bærer en stram CSP uden CDN'er samt HSTS og øvrige sikkerhedsheaders. Inputfilen slettes straks efter kørslen, resultater persisteres ikke, og en append-only revisionslog registrerer kun metadata. Detaljer i det separate dokument Sikkerhed og databehandling.</w:t>
      </w:r>
    </w:p>
    <w:p>
      <w:pPr>
        <w:pStyle w:val="Heading1"/>
      </w:pPr>
      <w:r>
        <w:t xml:space="preserve">11. Kvalitetssikring og test</w:t>
      </w:r>
    </w:p>
    <w:p>
      <w:pPr>
        <w:spacing w:after="120"/>
      </w:pPr>
      <w:r>
        <w:t xml:space="preserve">Værktøjet er dækket af en automatiseret testsuite (parser-, motor-, auth- og sikkerhedstests) samt den uafhængige valideringssuite (98/98 aktive kontroller med plantet defekt). CI kører pytest, katalogvalidering og valideringssuiten (gated) samt pip-audit --strict på runtime-afhængigheder ved hver push/PR.</w:t>
      </w:r>
    </w:p>
    <w:p>
      <w:pPr>
        <w:pStyle w:val="Heading1"/>
      </w:pPr>
      <w:r>
        <w:t xml:space="preserve">12. Kendte begrænsninger og forudsætninger</w:t>
      </w:r>
    </w:p>
    <w:p>
      <w:pPr>
        <w:pStyle w:val="ListParagraph"/>
        <w:numPr>
          <w:ilvl w:val="0"/>
          <w:numId w:val="2"/>
        </w:numPr>
        <w:spacing w:after="60"/>
      </w:pPr>
      <w:r>
        <w:t xml:space="preserve">5 kontroller er inaktive på et fladt udtræk: test 82 (kræver indberettet momsangivelse), 83 (delvis fradragsret/fordelingsnøgle), 85 (karrusel — kræver vareflow på tværs af virksomheder), 90 (kræver fuld betalingsdata) og 99 (kræver salgskanal/markedsplads-data). Hver har en dokumenteret beslutning (aktivér via input / parkeret / uden for scope).</w:t>
      </w:r>
    </w:p>
    <w:p>
      <w:pPr>
        <w:pStyle w:val="ListParagraph"/>
        <w:numPr>
          <w:ilvl w:val="0"/>
          <w:numId w:val="2"/>
        </w:numPr>
        <w:spacing w:after="60"/>
      </w:pPr>
      <w:r>
        <w:t xml:space="preserve">Analysen kvalitetssikrer momsbehandlingen, men erstatter ikke et fagligt skøn.</w:t>
      </w:r>
    </w:p>
    <w:p>
      <w:pPr>
        <w:pStyle w:val="ListParagraph"/>
        <w:numPr>
          <w:ilvl w:val="0"/>
          <w:numId w:val="2"/>
        </w:numPr>
        <w:spacing w:after="60"/>
      </w:pPr>
      <w:r>
        <w:t xml:space="preserve">Resultaternes værdi afhænger af inputdatakvaliteten; manglende felter kan gøre enkelte kontroller mindre præcise.</w:t>
      </w:r>
    </w:p>
    <w:p>
      <w:pPr>
        <w:pStyle w:val="ListParagraph"/>
        <w:numPr>
          <w:ilvl w:val="0"/>
          <w:numId w:val="2"/>
        </w:numPr>
        <w:spacing w:after="60"/>
      </w:pPr>
      <w:r>
        <w:t xml:space="preserve">Materialitetstærskler er p.t. faste i koden; engagement-styret materialitet er en mulig udvidelse.</w:t>
      </w:r>
    </w:p>
    <w:p>
      <w:pPr>
        <w:pStyle w:val="Heading1"/>
      </w:pPr>
      <w:r>
        <w:t xml:space="preserve">13. Åbne punkter for EY-godkendelse</w:t>
      </w:r>
    </w:p>
    <w:p>
      <w:pPr>
        <w:pStyle w:val="ListParagraph"/>
        <w:numPr>
          <w:ilvl w:val="0"/>
          <w:numId w:val="2"/>
        </w:numPr>
        <w:spacing w:after="60"/>
      </w:pPr>
      <w:r>
        <w:t xml:space="preserve">Mapning mod EY's konkrete godkendelsesskabelon.</w:t>
      </w:r>
    </w:p>
    <w:p>
      <w:pPr>
        <w:pStyle w:val="ListParagraph"/>
        <w:numPr>
          <w:ilvl w:val="0"/>
          <w:numId w:val="2"/>
        </w:numPr>
        <w:spacing w:after="60"/>
      </w:pPr>
      <w:r>
        <w:t xml:space="preserve">Produktionsdrift på EY-godkendt infrastruktur (EU) + databehandleraftale.</w:t>
      </w:r>
    </w:p>
    <w:p>
      <w:pPr>
        <w:pStyle w:val="ListParagraph"/>
        <w:numPr>
          <w:ilvl w:val="0"/>
          <w:numId w:val="2"/>
        </w:numPr>
        <w:spacing w:after="60"/>
      </w:pPr>
      <w:r>
        <w:t xml:space="preserve">Faglig pinning af præcis momslov-kilde pr. kontrol.</w:t>
      </w:r>
    </w:p>
    <w:p>
      <w:pPr>
        <w:pStyle w:val="ListParagraph"/>
        <w:numPr>
          <w:ilvl w:val="0"/>
          <w:numId w:val="2"/>
        </w:numPr>
        <w:spacing w:after="60"/>
      </w:pPr>
      <w:r>
        <w:t xml:space="preserve">Stress-test mod rigtige klientudtræk + materialitetskalibrering.</w:t>
      </w:r>
    </w:p>
    <w:p>
      <w:pPr>
        <w:pStyle w:val="ListParagraph"/>
        <w:numPr>
          <w:ilvl w:val="0"/>
          <w:numId w:val="2"/>
        </w:numPr>
        <w:spacing w:after="60"/>
      </w:pPr>
      <w:r>
        <w:t xml:space="preserve">Uafhængig sikkerhedsgennemgang / penetrationstest.</w:t>
      </w:r>
    </w:p>
    <w:p>
      <w:pPr>
        <w:pStyle w:val="ListParagraph"/>
        <w:numPr>
          <w:ilvl w:val="0"/>
          <w:numId w:val="2"/>
        </w:numPr>
        <w:spacing w:after="60"/>
      </w:pPr>
      <w:r>
        <w:t xml:space="preserve">Support-/vedligeholdelsesmodel og rolle-/ansvarsbeskrivelse.</w:t>
      </w:r>
    </w:p>
    <w:p>
      <w:pPr>
        <w:pStyle w:val="Heading1"/>
      </w:pPr>
      <w:r>
        <w:t xml:space="preserve">Appendiks A — Modulinventar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Modul</w:t>
            </w:r>
          </w:p>
        </w:tc>
        <w:tc>
          <w:tcPr>
            <w:tcW w:type="dxa" w:w="6360"/>
            <w:tcBorders>
              <w:top w:val="single" w:color="CCCCCC" w:sz="1"/>
              <w:left w:val="single" w:color="CCCCCC" w:sz="1"/>
              <w:bottom w:val="single" w:color="CCCCCC" w:sz="1"/>
              <w:right w:val="single" w:color="CCCCCC" w:sz="1"/>
            </w:tcBorders>
            <w:shd w:fill="1B365D" w:color="auto" w:val="clear"/>
            <w:tcMar>
              <w:top w:type="dxa" w:w="80"/>
              <w:left w:type="dxa" w:w="120"/>
              <w:bottom w:type="dxa" w:w="80"/>
              <w:right w:type="dxa" w:w="120"/>
            </w:tcMar>
          </w:tcPr>
          <w:p>
            <w:r>
              <w:rPr>
                <w:b/>
                <w:bCs/>
                <w:color w:val="FFFFFF"/>
              </w:rPr>
              <w:t xml:space="preserve">Ansvar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main.py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Tyndt FastAPI web-lag: ruter, upload/jobstyring, auth-wiring, sikkerhedsheaders.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Session-auth: /setup, login, invitationer, roller, rate-limit, CSRF (porteret til FastAPI).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audit_log.py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Append-only revisionslog (kun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analytics/engine.py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Orkestrering + rapportbygning (scores, impact, severity).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analytics/categories/*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 12 kategorimoduler med kontrollerne.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analytics/vat_rules.py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Delte danske momsregler/helpers.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Import (alias-genkendelse) + adapter til motorens struktur.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Uafhængig valideringssuite (ren/defekt pr. kontrol).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Generatorer: regelkatalog, sporbarhed, 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b/>
      <w:bCs/>
      <w:color w:val="1B365D"/>
      <w:sz w:val="30"/>
      <w:szCs w:val="30"/>
      <w:rFonts w:ascii="Arial" w:cs="Arial" w:eastAsia="Arial" w:hAnsi="Arial"/>
    </w:rPr>
  </w:style>
  <w:style w:type="paragraph" w:styleId="Heading2">
    <w:name w:val="Heading 2"/>
    <w:basedOn w:val="Normal"/>
    <w:next w:val="Normal"/>
    <w:qFormat/>
    <w:pPr>
      <w:spacing w:before="180" w:after="100"/>
      <w:outlineLvl w:val="1"/>
    </w:pPr>
    <w:rPr>
      <w:b/>
      <w:bCs/>
      <w:color w:val="2E5C8A"/>
      <w:sz w:val="25"/>
      <w:szCs w:val="25"/>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2026-06-16T21:23:58.970Z</dcterms:created>
  <dcterms:modified xsi:type="dcterms:W3CDTF">2026-06-16T21:23:58.970Z</dcterms:modified>
</cp:coreProperties>
</file>

<file path=docProps/custom.xml><?xml version="1.0" encoding="utf-8"?>
<Properties xmlns="http://schemas.openxmlformats.org/officeDocument/2006/custom-properties" xmlns:vt="http://schemas.openxmlformats.org/officeDocument/2006/docPropsVTypes"/>
</file>