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Hosting og drift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Nuværende drift (EU), EY-platform, migration, env-inventar og CI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Best practice-grundlag. Den nuværende drift kører i EU, men er midlertidig; produktionsdrift på EY-godkendt platform er en forudsætning for godkendelse.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1.1.0</w:t>
      </w:r>
    </w:p>
    <w:p>
      <w:r>
        <w:br w:type="page"/>
      </w:r>
    </w:p>
    <w:p>
      <w:pPr>
        <w:pStyle w:val="Heading1"/>
      </w:pPr>
      <w:r>
        <w:t xml:space="preserve">1. Nuværende drift</w:t>
      </w:r>
    </w:p>
    <w:p>
      <w:pPr>
        <w:spacing w:after="120"/>
      </w:pPr>
      <w:r>
        <w:t xml:space="preserve">Værktøjet driftes p.t. midlertidigt på Railway (projekt airy-light, domæne vat.balai.dk) — til udvikling og demonstration. Appen er en standard Python/ASGI-applikation (FastAPI/uvicorn) bygget fra en Dockerfile. Servicen kører i EU-regionen (EU West, Amsterdam) med præcis 1 worker og 1 replica, da jobtilstanden holdes in-memory.</w:t>
      </w:r>
    </w:p>
    <w:p>
      <w:pPr>
        <w:pStyle w:val="Heading1"/>
      </w:pPr>
      <w:r>
        <w:t xml:space="preserve">2. Procesmodel (kritisk: 1 worker / 1 replica)</w:t>
      </w:r>
    </w:p>
    <w:p>
      <w:pPr>
        <w:spacing w:after="120"/>
      </w:pPr>
      <w:r>
        <w:rPr>
          <w:b/>
          <w:bCs/>
        </w:rPr>
        <w:t xml:space="preserve">Analysejobs holdes i hukommelsen i app-processen. Derfor SKAL der køre præcis én proces/instans — ellers kan et job blive startet på én instans og pollet på en anden. startCommand er pinnet i railway.json (uvicorn --workers 1), og skalering er låst til 1 replica. Bemærk at en tilknyttet volumen i sig selv binder servicen til én region og udelukker horisontal skalering, hvilket passer med denne model.</w:t>
      </w:r>
    </w:p>
    <w:p>
      <w:pPr>
        <w:pStyle w:val="Heading1"/>
      </w:pPr>
      <w:r>
        <w:t xml:space="preserve">3. EY-platform (forudsætning)</w:t>
      </w:r>
    </w:p>
    <w:p>
      <w:pPr>
        <w:spacing w:after="120"/>
      </w:pPr>
      <w:r>
        <w:t xml:space="preserve">Det er en udtrykkelig forudsætning for godkendelse, at produktet driftes på EY's egen godkendte platform med kontroller for dataplacering (EU), kryptering, adgang, logning, backup og beredskab. Arkitekturen er platform-agnostisk (standard ASGI/WSGI), så flytningen kan ske uden ændringer i kontrol-logikken. Brugerstyringen er allerede ekstern (central BALAI på fælles Postgres); kun den lokale revisionslog (SQLite) skal ledsage værktøjet eller flyttes til en managed database.</w:t>
      </w:r>
    </w:p>
    <w:p>
      <w:pPr>
        <w:pStyle w:val="Heading1"/>
      </w:pPr>
      <w:r>
        <w:t xml:space="preserve">4. Migrationsplan / opsætning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servicens region til EU og opret en persistent volumen monteret på /data (region følger volumenet; volumen → 1 replica).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SECRET_KEY IDENTISK med den centrale BALAI-auth (binder den delte session-cookie på .balai.dk). Sæt DATABASE_URL til den fælles Postgres og evt. AUTH_BASE_URL (default https://auth.balai.dk).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AUDIT_DB_PATH=/data/audit.db (den lokale revisionslog). Sæt IKKE SESSION_COOKIE_SECURE=0 i produktion.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 via Dockerfile; startCommand (uvicorn --workers 1, $PORT) er pinnet i railway.json.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Opret bruger/adgang til slug «vat» i den centrale brugerstyring (auth.balai.dk) — ikke i værktøjet.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Verificér /health, at login via central auth virker og en genindlæsning bevarer sessionen, sikkerhedsheaders og CI-grøn.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Etabler backup af /data-volumenet (revisionslog) og en dokumenteret sletteproces; brugerdata backes op via den centrale Postgres.</w:t>
      </w:r>
    </w:p>
    <w:p>
      <w:pPr>
        <w:spacing w:after="120"/>
      </w:pPr>
      <w:r>
        <w:rPr>
          <w:b/>
          <w:bCs/>
        </w:rPr>
        <w:t xml:space="preserve">KRITISK: SECRET_KEY SKAL være identisk med den centrale auth, og DATABASE_URL skal pege på den fælles Postgres — ellers kan den delte session-cookie ikke valideres, og login fejler (redirect-løkke). Den lokale revisionslog (AUDIT_DB_PATH) ligger på det flygtige filsystem uden et monteret /data-volumen og nulstilles ved hver redeploy.</w:t>
      </w:r>
    </w:p>
    <w:p>
      <w:pPr>
        <w:spacing w:after="120"/>
      </w:pPr>
      <w:r>
        <w:rPr>
          <w:b/>
          <w:bCs/>
        </w:rPr>
        <w:t xml:space="preserve">DRIFTSFUND (verificeret 2026-06-16): railway.json's startCommand køres uden shell, så et bart "$PORT" ikke ekspanderes (uvicorn fejler med 'Invalid value for --port: $PORT'). Kommandoen pakkes derfor i 'sh -c', så $PORT ekspanderes korrekt. Region kunne ikke skiftes, mens en volumen var tilknyttet (volumen er region-bundet): volumenet blev fjernet, regionen sat til EU, og volumenet genoprettet i EU.</w:t>
      </w:r>
    </w:p>
    <w:p>
      <w:pPr>
        <w:pStyle w:val="Heading1"/>
      </w:pPr>
      <w:r>
        <w:t xml:space="preserve">5. Miljø-inventar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660"/>
        <w:gridCol w:w="22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Formål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Default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SECRET_KEY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Signerer/validerer den delte session-cookie. SKAL være IDENTISK med central auth.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(tilfældig — kun dev)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Fælles Postgres til den centrale brugerstyring (bruger/adgang/token_version).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(påkrævet i prod)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AUTH_BASE_URL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login/redirect-base.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https://auth.balai.dk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AUDIT_DB_PATH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 til den lokale revisionslog (SQLite). SKAL pege på det persistente volumen.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data/audit.db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SESSION_COOKIE_SECURE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Secure-flag på session-cookie. Lad være usat (=secure) i prod.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(secure)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ANALYTICS_MODULES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Aktive analyse-moduler (komma-liste; “alle” = alt).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(kun momskernen)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CORS_ORIGINS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Tilladte origins (komma-separeret).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https://vat.balai.dk,http://localhost:3000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MAX_UPLOAD_MB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Maksimal uploadstørrelse.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2048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JOB_RETENTION_SECONDS / MAX_JOBS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TTL / maks-antal for async-jobs i hukommelsen.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3600 / 100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MATERIALITY_* (valgfri)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Engagement-kalibrerbare tærskler + severity-vægte (se analytics/materiality.py).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(hidtidig adfærd)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PORT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Lytteport (sættes af platformen).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5003 / 8080</w:t>
            </w:r>
          </w:p>
        </w:tc>
      </w:tr>
    </w:tbl>
    <w:p>
      <w:pPr>
        <w:pStyle w:val="Heading1"/>
      </w:pPr>
      <w:r>
        <w:t xml:space="preserve">6. Backup og beredskab (BCDR)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Brugerdata (konti/adgange) ligger i den centrale BALAI-Postgres og backes op dér, uden for dette værktøj.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 persistente /data-volumen (den lokale revisionslog) bør indgå i platformens backup-rutine.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 kundedata ikke opbevares (input slettes pr. kørsel, resultater persisteres ikke), er gendannelsesomfanget begrænset til revisionsloggen.</w:t>
      </w:r>
    </w:p>
    <w:p>
      <w:pPr>
        <w:pStyle w:val="Heading1"/>
      </w:pPr>
      <w:r>
        <w:t xml:space="preserve">7. CI/CD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GitHub Actions kører ved hver push/PR: pytest, katalogvalidering (python tools/build_rules_catalog.py), den uafhængige valideringssuite (python -m validation.run_validation, gated) og pip-audit --strict på runtime-afhængigheder.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Runtime- og test-afhængigheder er adskilt (requirements.txt vs. requirements-dev.txt) og versionspinnede.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Regelkatalog, sporbarhedsmatrix, valideringsrapport og denne dokumentationspakke kan regenereres deterministisk via scripts i backend/tools/.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Build-hygiejne: docx-generatorens Node-artefakter (package.json, node_modules) ligger i repo-roden uden for Railway-servicens backend/-rod og er gitignored, så de ikke påvirker deploy-builden.</w:t>
      </w:r>
    </w:p>
    <w:p>
      <w:pPr>
        <w:pStyle w:val="Heading1"/>
      </w:pPr>
      <w:r>
        <w:t xml:space="preserve">8. Roller, support og åbne punkter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Rolle-/ansvarsbeskrivelse (drift, fagansvarlig for regelkataloget/momslov-kilder, sikkerhed) fastlægges med 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Support- og vedligeholdelsesmodel (SLA, opdatering af kontroller ved regelændringer) fastlægges.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Logning/alarmering kobles til EY-platformens overvågning.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2026-09-08T13:21:42.021Z</dcterms:created>
  <dcterms:modified xsi:type="dcterms:W3CDTF">2026-09-08T13:21:42.021Z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