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B65F5"/>
          <w:sz w:val="18"/>
        </w:rPr>
        <w:t>AI SOLUTION ARCHITECT  |  WEEK 1  |  GUIDED LAB, PART 2</w:t>
      </w:r>
    </w:p>
    <w:p>
      <w:pPr>
        <w:spacing w:after="40"/>
      </w:pPr>
      <w:r>
        <w:rPr>
          <w:rFonts w:ascii="Calibri" w:hAnsi="Calibri"/>
          <w:b/>
          <w:i w:val="0"/>
          <w:color w:val="14213D"/>
          <w:sz w:val="40"/>
        </w:rPr>
        <w:t>Breakout 1 of 2: Build the map. Find the real problem.</w:t>
      </w:r>
    </w:p>
    <w:p>
      <w:pPr>
        <w:spacing w:after="160"/>
      </w:pPr>
      <w:r>
        <w:rPr>
          <w:rFonts w:ascii="Calibri" w:hAnsi="Calibri"/>
          <w:b w:val="0"/>
          <w:i w:val="0"/>
          <w:color w:val="6B7285"/>
          <w:sz w:val="23"/>
        </w:rPr>
        <w:t>Capability map, four stakeholder lenses, and one validated problem statement.</w:t>
      </w:r>
    </w:p>
    <w:p>
      <w:pPr>
        <w:spacing w:after="200"/>
      </w:pPr>
      <w:r>
        <w:rPr>
          <w:rFonts w:ascii="Calibri" w:hAnsi="Calibri"/>
          <w:b/>
          <w:i w:val="0"/>
          <w:color w:val="E5533D"/>
          <w:sz w:val="20"/>
        </w:rPr>
        <w:t>Read this before class. Scenario: Redpoint Field Services. 35 minutes. Not collected.</w:t>
      </w:r>
    </w:p>
    <w:p>
      <w:pPr>
        <w:spacing w:before="200" w:after="80"/>
      </w:pPr>
      <w:r>
        <w:rPr>
          <w:rFonts w:ascii="Calibri" w:hAnsi="Calibri"/>
          <w:b/>
          <w:color w:val="14213D"/>
          <w:sz w:val="26"/>
        </w:rPr>
        <w:t>What is the scenario?</w:t>
      </w:r>
    </w:p>
    <w:p>
      <w:pPr>
        <w:spacing w:after="80"/>
      </w:pPr>
      <w:r>
        <w:rPr>
          <w:rFonts w:ascii="Calibri" w:hAnsi="Calibri"/>
          <w:b w:val="0"/>
          <w:i w:val="0"/>
          <w:color w:val="14213D"/>
          <w:sz w:val="21"/>
        </w:rPr>
        <w:t>Redpoint Field Services maintains equipment on customer sites.</w:t>
      </w:r>
    </w:p>
    <w:p>
      <w:pPr>
        <w:pStyle w:val="ListBullet"/>
        <w:spacing w:after="40"/>
      </w:pPr>
      <w:r>
        <w:rPr>
          <w:sz w:val="21"/>
        </w:rPr>
        <w:t>600 field engineers, around 11,000 sites.</w:t>
      </w:r>
    </w:p>
    <w:p>
      <w:pPr>
        <w:pStyle w:val="ListBullet"/>
        <w:spacing w:after="40"/>
      </w:pPr>
      <w:r>
        <w:rPr>
          <w:sz w:val="21"/>
        </w:rPr>
        <w:t>Two field-service systems, inherited from an acquisition and still running side by side.</w:t>
      </w:r>
    </w:p>
    <w:p>
      <w:pPr>
        <w:pStyle w:val="ListBullet"/>
        <w:spacing w:after="40"/>
      </w:pPr>
      <w:r>
        <w:rPr>
          <w:sz w:val="21"/>
        </w:rPr>
        <w:t>A union agreement governs how jobs are allocated to engineers. Any allocation can be challenged.</w:t>
      </w:r>
    </w:p>
    <w:p>
      <w:pPr>
        <w:pStyle w:val="ListBullet"/>
        <w:spacing w:after="40"/>
      </w:pPr>
      <w:r>
        <w:rPr>
          <w:sz w:val="21"/>
        </w:rPr>
        <w:t>The COO has asked for an AI scheduling optimiser, because engineers look under-utilised.</w:t>
      </w:r>
    </w:p>
    <w:p>
      <w:pPr>
        <w:spacing w:after="160"/>
      </w:pPr>
      <w:r>
        <w:rPr>
          <w:rFonts w:ascii="Calibri" w:hAnsi="Calibri"/>
          <w:b w:val="0"/>
          <w:i w:val="0"/>
          <w:color w:val="6B7285"/>
          <w:sz w:val="20"/>
        </w:rPr>
        <w:t>The full pack, with the data table and the governance list, is the Redpoint scenario pack. Everything you need is in it. Where a number does not exist, the pack says so, and saying so scores better than inventing one.</w:t>
      </w:r>
    </w:p>
    <w:p>
      <w:pPr>
        <w:spacing w:after="200"/>
      </w:pPr>
      <w:r>
        <w:rPr>
          <w:rFonts w:ascii="Calibri" w:hAnsi="Calibri"/>
          <w:b/>
          <w:i w:val="0"/>
          <w:color w:val="E5533D"/>
          <w:sz w:val="20"/>
        </w:rPr>
        <w:t>Read the data before you name anything. The request and the data do not agree, and noticing that is the whole exercise.</w:t>
      </w:r>
    </w:p>
    <w:p>
      <w:pPr>
        <w:spacing w:before="200" w:after="80"/>
      </w:pPr>
      <w:r>
        <w:rPr>
          <w:rFonts w:ascii="Calibri" w:hAnsi="Calibri"/>
          <w:b/>
          <w:color w:val="14213D"/>
          <w:sz w:val="26"/>
        </w:rPr>
        <w:t>What is expected of you?</w:t>
      </w:r>
    </w:p>
    <w:p>
      <w:pPr>
        <w:spacing w:after="80"/>
      </w:pPr>
      <w:r>
        <w:rPr>
          <w:rFonts w:ascii="Calibri" w:hAnsi="Calibri"/>
          <w:b w:val="0"/>
          <w:i w:val="0"/>
          <w:color w:val="14213D"/>
          <w:sz w:val="21"/>
        </w:rPr>
        <w:t>Four things, in this order. The order matters: each one is built from the one before it.</w:t>
      </w:r>
    </w:p>
    <w:tbl>
      <w:tblPr>
        <w:tblStyle w:val="TableGrid"/>
        <w:tblW w:type="auto" w:w="0"/>
        <w:tblLook w:firstColumn="1" w:firstRow="1" w:lastColumn="0" w:lastRow="0" w:noHBand="0" w:noVBand="1" w:val="04A0"/>
      </w:tblPr>
      <w:tblGrid>
        <w:gridCol w:w="4968"/>
        <w:gridCol w:w="4968"/>
      </w:tblGrid>
      <w:tr>
        <w:tc>
          <w:tcPr>
            <w:tcW w:type="dxa" w:w="3600"/>
            <w:shd w:val="clear" w:fill="EFEDE6"/>
          </w:tcPr>
          <w:p>
            <w:r/>
            <w:r>
              <w:rPr>
                <w:b/>
                <w:color w:val="14213D"/>
                <w:sz w:val="19"/>
              </w:rPr>
              <w:t>Produce</w:t>
            </w:r>
          </w:p>
        </w:tc>
        <w:tc>
          <w:tcPr>
            <w:tcW w:type="dxa" w:w="6192"/>
            <w:shd w:val="clear" w:fill="EFEDE6"/>
          </w:tcPr>
          <w:p>
            <w:r/>
            <w:r>
              <w:rPr>
                <w:b/>
                <w:color w:val="14213D"/>
                <w:sz w:val="19"/>
              </w:rPr>
              <w:t>What it means</w:t>
            </w:r>
          </w:p>
        </w:tc>
      </w:tr>
      <w:tr>
        <w:tc>
          <w:tcPr>
            <w:tcW w:type="dxa" w:w="3600"/>
          </w:tcPr>
          <w:p>
            <w:pPr>
              <w:spacing w:after="40"/>
            </w:pPr>
            <w:r/>
            <w:r>
              <w:rPr>
                <w:b/>
                <w:sz w:val="20"/>
              </w:rPr>
              <w:t>1. A capability map</w:t>
            </w:r>
          </w:p>
        </w:tc>
        <w:tc>
          <w:tcPr>
            <w:tcW w:type="dxa" w:w="6192"/>
          </w:tcPr>
          <w:p>
            <w:pPr>
              <w:spacing w:after="40"/>
            </w:pPr>
            <w:r/>
            <w:r>
              <w:rPr>
                <w:b w:val="0"/>
                <w:sz w:val="20"/>
              </w:rPr>
              <w:t>Four to six capabilities, each written as a verb and an object. For each one, mark where cost or friction concentrates and put the number from the pack next to it. Mark at least one capability as genuinely healthy.</w:t>
            </w:r>
          </w:p>
        </w:tc>
      </w:tr>
      <w:tr>
        <w:tc>
          <w:tcPr>
            <w:tcW w:type="dxa" w:w="3600"/>
          </w:tcPr>
          <w:p>
            <w:pPr>
              <w:spacing w:after="40"/>
            </w:pPr>
            <w:r/>
            <w:r>
              <w:rPr>
                <w:b/>
                <w:sz w:val="20"/>
              </w:rPr>
              <w:t>2. Four lenses</w:t>
            </w:r>
          </w:p>
        </w:tc>
        <w:tc>
          <w:tcPr>
            <w:tcW w:type="dxa" w:w="6192"/>
          </w:tcPr>
          <w:p>
            <w:pPr>
              <w:spacing w:after="40"/>
            </w:pPr>
            <w:r/>
            <w:r>
              <w:rPr>
                <w:b w:val="0"/>
                <w:sz w:val="20"/>
              </w:rPr>
              <w:t>Take your hottest capability and look at it through cost, risk, time to value and adoption. Each lens must end in a named role from the pack, not in “the business”.</w:t>
            </w:r>
          </w:p>
        </w:tc>
      </w:tr>
      <w:tr>
        <w:tc>
          <w:tcPr>
            <w:tcW w:type="dxa" w:w="3600"/>
          </w:tcPr>
          <w:p>
            <w:pPr>
              <w:spacing w:after="40"/>
            </w:pPr>
            <w:r/>
            <w:r>
              <w:rPr>
                <w:b/>
                <w:sz w:val="20"/>
              </w:rPr>
              <w:t>3. A validated problem statement</w:t>
            </w:r>
          </w:p>
        </w:tc>
        <w:tc>
          <w:tcPr>
            <w:tcW w:type="dxa" w:w="6192"/>
          </w:tcPr>
          <w:p>
            <w:pPr>
              <w:spacing w:after="40"/>
            </w:pPr>
            <w:r/>
            <w:r>
              <w:rPr>
                <w:b w:val="0"/>
                <w:sz w:val="20"/>
              </w:rPr>
              <w:t>One sentence: the capability, the number, the consequence, and the named role who carries it. No technology words at all.</w:t>
            </w:r>
          </w:p>
        </w:tc>
      </w:tr>
      <w:tr>
        <w:tc>
          <w:tcPr>
            <w:tcW w:type="dxa" w:w="3600"/>
          </w:tcPr>
          <w:p>
            <w:pPr>
              <w:spacing w:after="40"/>
            </w:pPr>
            <w:r/>
            <w:r>
              <w:rPr>
                <w:b/>
                <w:sz w:val="20"/>
              </w:rPr>
              <w:t>4. One governance constraint</w:t>
            </w:r>
          </w:p>
        </w:tc>
        <w:tc>
          <w:tcPr>
            <w:tcW w:type="dxa" w:w="6192"/>
          </w:tcPr>
          <w:p>
            <w:pPr>
              <w:spacing w:after="40"/>
            </w:pPr>
            <w:r/>
            <w:r>
              <w:rPr>
                <w:b w:val="0"/>
                <w:sz w:val="20"/>
              </w:rPr>
              <w:t>Name one body or agreement from the pack and say what it stops Redpoint doing.</w:t>
            </w:r>
          </w:p>
        </w:tc>
      </w:tr>
    </w:tbl>
    <w:p>
      <w:pPr>
        <w:spacing w:after="80"/>
      </w:pPr>
    </w:p>
    <w:p>
      <w:pPr>
        <w:spacing w:before="200" w:after="80"/>
      </w:pPr>
      <w:r>
        <w:rPr>
          <w:rFonts w:ascii="Calibri" w:hAnsi="Calibri"/>
          <w:b/>
          <w:color w:val="14213D"/>
          <w:sz w:val="26"/>
        </w:rPr>
        <w:t>What does good look like?</w:t>
      </w:r>
    </w:p>
    <w:tbl>
      <w:tblPr>
        <w:tblStyle w:val="TableGrid"/>
        <w:tblW w:type="auto" w:w="0"/>
        <w:tblLook w:firstColumn="1" w:firstRow="1" w:lastColumn="0" w:lastRow="0" w:noHBand="0" w:noVBand="1" w:val="04A0"/>
      </w:tblPr>
      <w:tblGrid>
        <w:gridCol w:w="4968"/>
        <w:gridCol w:w="4968"/>
      </w:tblGrid>
      <w:tr>
        <w:tc>
          <w:tcPr>
            <w:tcW w:type="dxa" w:w="3600"/>
            <w:shd w:val="clear" w:fill="EFEDE6"/>
          </w:tcPr>
          <w:p>
            <w:r/>
            <w:r>
              <w:rPr>
                <w:b/>
                <w:color w:val="14213D"/>
                <w:sz w:val="19"/>
              </w:rPr>
              <w:t>Line</w:t>
            </w:r>
          </w:p>
        </w:tc>
        <w:tc>
          <w:tcPr>
            <w:tcW w:type="dxa" w:w="6192"/>
            <w:shd w:val="clear" w:fill="EFEDE6"/>
          </w:tcPr>
          <w:p>
            <w:r/>
            <w:r>
              <w:rPr>
                <w:b/>
                <w:color w:val="14213D"/>
                <w:sz w:val="19"/>
              </w:rPr>
              <w:t>A top-band answer</w:t>
            </w:r>
          </w:p>
        </w:tc>
      </w:tr>
      <w:tr>
        <w:tc>
          <w:tcPr>
            <w:tcW w:type="dxa" w:w="3600"/>
          </w:tcPr>
          <w:p>
            <w:pPr>
              <w:spacing w:after="40"/>
            </w:pPr>
            <w:r/>
            <w:r>
              <w:rPr>
                <w:b/>
                <w:sz w:val="20"/>
              </w:rPr>
              <w:t>Capability (level 2)</w:t>
            </w:r>
          </w:p>
        </w:tc>
        <w:tc>
          <w:tcPr>
            <w:tcW w:type="dxa" w:w="6192"/>
          </w:tcPr>
          <w:p>
            <w:pPr>
              <w:spacing w:after="40"/>
            </w:pPr>
            <w:r/>
            <w:r>
              <w:rPr>
                <w:b w:val="0"/>
                <w:sz w:val="20"/>
              </w:rPr>
              <w:t>“Quote a Repair.” A verb and an object. It survives a reorganisation, a system replacement and a change of staff, and one number describes how well it is done.</w:t>
            </w:r>
          </w:p>
        </w:tc>
      </w:tr>
      <w:tr>
        <w:tc>
          <w:tcPr>
            <w:tcW w:type="dxa" w:w="3600"/>
          </w:tcPr>
          <w:p>
            <w:pPr>
              <w:spacing w:after="40"/>
            </w:pPr>
            <w:r/>
            <w:r>
              <w:rPr>
                <w:b/>
                <w:sz w:val="20"/>
              </w:rPr>
              <w:t>A marked capability</w:t>
            </w:r>
          </w:p>
        </w:tc>
        <w:tc>
          <w:tcPr>
            <w:tcW w:type="dxa" w:w="6192"/>
          </w:tcPr>
          <w:p>
            <w:pPr>
              <w:spacing w:after="40"/>
            </w:pPr>
            <w:r/>
            <w:r>
              <w:rPr>
                <w:b w:val="0"/>
                <w:sz w:val="20"/>
              </w:rPr>
              <w:t>“Resolve a Parts Query. 22% of parts records carry no model compatibility. Owner: Parts and Inventory Manager.”</w:t>
            </w:r>
          </w:p>
        </w:tc>
      </w:tr>
      <w:tr>
        <w:tc>
          <w:tcPr>
            <w:tcW w:type="dxa" w:w="3600"/>
          </w:tcPr>
          <w:p>
            <w:pPr>
              <w:spacing w:after="40"/>
            </w:pPr>
            <w:r/>
            <w:r>
              <w:rPr>
                <w:b/>
                <w:sz w:val="20"/>
              </w:rPr>
              <w:t>A lens</w:t>
            </w:r>
          </w:p>
        </w:tc>
        <w:tc>
          <w:tcPr>
            <w:tcW w:type="dxa" w:w="6192"/>
          </w:tcPr>
          <w:p>
            <w:pPr>
              <w:spacing w:after="40"/>
            </w:pPr>
            <w:r/>
            <w:r>
              <w:rPr>
                <w:b w:val="0"/>
                <w:sz w:val="20"/>
              </w:rPr>
              <w:t>“Adoption: engineers already distrust the second system and will route around a tool that tells them which part to fit, because they are the ones standing in front of the customer.”</w:t>
            </w:r>
          </w:p>
        </w:tc>
      </w:tr>
      <w:tr>
        <w:tc>
          <w:tcPr>
            <w:tcW w:type="dxa" w:w="3600"/>
          </w:tcPr>
          <w:p>
            <w:pPr>
              <w:spacing w:after="40"/>
            </w:pPr>
            <w:r/>
            <w:r>
              <w:rPr>
                <w:b/>
                <w:sz w:val="20"/>
              </w:rPr>
              <w:t>Problem statement</w:t>
            </w:r>
          </w:p>
        </w:tc>
        <w:tc>
          <w:tcPr>
            <w:tcW w:type="dxa" w:w="6192"/>
          </w:tcPr>
          <w:p>
            <w:pPr>
              <w:spacing w:after="40"/>
            </w:pPr>
            <w:r/>
            <w:r>
              <w:rPr>
                <w:b w:val="0"/>
                <w:sz w:val="20"/>
              </w:rPr>
              <w:t>“Redpoint cannot resolve a parts query first time: 22% of parts records carry no verified model compatibility, so engineers make a second visit, and the Head of Field Operations carries the cost.”</w:t>
            </w:r>
          </w:p>
        </w:tc>
      </w:tr>
      <w:tr>
        <w:tc>
          <w:tcPr>
            <w:tcW w:type="dxa" w:w="3600"/>
          </w:tcPr>
          <w:p>
            <w:pPr>
              <w:spacing w:after="40"/>
            </w:pPr>
            <w:r/>
            <w:r>
              <w:rPr>
                <w:b/>
                <w:sz w:val="20"/>
              </w:rPr>
              <w:t>Governance</w:t>
            </w:r>
          </w:p>
        </w:tc>
        <w:tc>
          <w:tcPr>
            <w:tcW w:type="dxa" w:w="6192"/>
          </w:tcPr>
          <w:p>
            <w:pPr>
              <w:spacing w:after="40"/>
            </w:pPr>
            <w:r/>
            <w:r>
              <w:rPr>
                <w:b w:val="0"/>
                <w:sz w:val="20"/>
              </w:rPr>
              <w:t>“The union agreement on job allocation means any allocation can be challenged, so every recommendation has to trace to a named rule. That changes the engineer’s day, not the planner’s.”</w:t>
            </w:r>
          </w:p>
        </w:tc>
      </w:tr>
    </w:tbl>
    <w:p>
      <w:pPr>
        <w:spacing w:after="80"/>
      </w:pPr>
    </w:p>
    <w:p>
      <w:pPr>
        <w:spacing w:before="200" w:after="80"/>
      </w:pPr>
      <w:r>
        <w:rPr>
          <w:rFonts w:ascii="Calibri" w:hAnsi="Calibri"/>
          <w:b/>
          <w:color w:val="14213D"/>
          <w:sz w:val="26"/>
        </w:rPr>
        <w:t>What to avoid</w:t>
      </w:r>
    </w:p>
    <w:tbl>
      <w:tblPr>
        <w:tblStyle w:val="TableGrid"/>
        <w:tblW w:type="auto" w:w="0"/>
        <w:tblLook w:firstColumn="1" w:firstRow="1" w:lastColumn="0" w:lastRow="0" w:noHBand="0" w:noVBand="1" w:val="04A0"/>
      </w:tblPr>
      <w:tblGrid>
        <w:gridCol w:w="4968"/>
        <w:gridCol w:w="4968"/>
      </w:tblGrid>
      <w:tr>
        <w:tc>
          <w:tcPr>
            <w:tcW w:type="dxa" w:w="3600"/>
            <w:shd w:val="clear" w:fill="EFEDE6"/>
          </w:tcPr>
          <w:p>
            <w:r/>
            <w:r>
              <w:rPr>
                <w:b/>
                <w:color w:val="14213D"/>
                <w:sz w:val="19"/>
              </w:rPr>
              <w:t>Trap</w:t>
            </w:r>
          </w:p>
        </w:tc>
        <w:tc>
          <w:tcPr>
            <w:tcW w:type="dxa" w:w="6192"/>
            <w:shd w:val="clear" w:fill="EFEDE6"/>
          </w:tcPr>
          <w:p>
            <w:r/>
            <w:r>
              <w:rPr>
                <w:b/>
                <w:color w:val="14213D"/>
                <w:sz w:val="19"/>
              </w:rPr>
              <w:t>Why pods fall into it</w:t>
            </w:r>
          </w:p>
        </w:tc>
      </w:tr>
      <w:tr>
        <w:tc>
          <w:tcPr>
            <w:tcW w:type="dxa" w:w="3600"/>
          </w:tcPr>
          <w:p>
            <w:pPr>
              <w:spacing w:after="40"/>
            </w:pPr>
            <w:r/>
            <w:r>
              <w:rPr>
                <w:b/>
                <w:sz w:val="20"/>
              </w:rPr>
              <w:t>Agreeing with the COO</w:t>
            </w:r>
          </w:p>
        </w:tc>
        <w:tc>
          <w:tcPr>
            <w:tcW w:type="dxa" w:w="6192"/>
          </w:tcPr>
          <w:p>
            <w:pPr>
              <w:spacing w:after="40"/>
            </w:pPr>
            <w:r/>
            <w:r>
              <w:rPr>
                <w:b w:val="0"/>
                <w:sz w:val="20"/>
              </w:rPr>
              <w:t>Scheduling is the thing you were asked about. The data says 94% of routes are accepted as issued. Scheduling is healthy. Mapping it wastes the session.</w:t>
            </w:r>
          </w:p>
        </w:tc>
      </w:tr>
      <w:tr>
        <w:tc>
          <w:tcPr>
            <w:tcW w:type="dxa" w:w="3600"/>
          </w:tcPr>
          <w:p>
            <w:pPr>
              <w:spacing w:after="40"/>
            </w:pPr>
            <w:r/>
            <w:r>
              <w:rPr>
                <w:b/>
                <w:sz w:val="20"/>
              </w:rPr>
              <w:t>Mapping at the wrong level</w:t>
            </w:r>
          </w:p>
        </w:tc>
        <w:tc>
          <w:tcPr>
            <w:tcW w:type="dxa" w:w="6192"/>
          </w:tcPr>
          <w:p>
            <w:pPr>
              <w:spacing w:after="40"/>
            </w:pPr>
            <w:r/>
            <w:r>
              <w:rPr>
                <w:b w:val="0"/>
                <w:sz w:val="20"/>
              </w:rPr>
              <w:t>“Operations” is a function: you cannot attach one number to it. “Scan the job sheet” is a task: it disappears when the process changes. Map between the two.</w:t>
            </w:r>
          </w:p>
        </w:tc>
      </w:tr>
      <w:tr>
        <w:tc>
          <w:tcPr>
            <w:tcW w:type="dxa" w:w="3600"/>
          </w:tcPr>
          <w:p>
            <w:pPr>
              <w:spacing w:after="40"/>
            </w:pPr>
            <w:r/>
            <w:r>
              <w:rPr>
                <w:b/>
                <w:sz w:val="20"/>
              </w:rPr>
              <w:t>Finding one hot capability and stopping</w:t>
            </w:r>
          </w:p>
        </w:tc>
        <w:tc>
          <w:tcPr>
            <w:tcW w:type="dxa" w:w="6192"/>
          </w:tcPr>
          <w:p>
            <w:pPr>
              <w:spacing w:after="40"/>
            </w:pPr>
            <w:r/>
            <w:r>
              <w:rPr>
                <w:b w:val="0"/>
                <w:sz w:val="20"/>
              </w:rPr>
              <w:t>There are two, and one causes the other. The map is where that becomes visible.</w:t>
            </w:r>
          </w:p>
        </w:tc>
      </w:tr>
      <w:tr>
        <w:tc>
          <w:tcPr>
            <w:tcW w:type="dxa" w:w="3600"/>
          </w:tcPr>
          <w:p>
            <w:pPr>
              <w:spacing w:after="40"/>
            </w:pPr>
            <w:r/>
            <w:r>
              <w:rPr>
                <w:b/>
                <w:sz w:val="20"/>
              </w:rPr>
              <w:t>Calling everything broken</w:t>
            </w:r>
          </w:p>
        </w:tc>
        <w:tc>
          <w:tcPr>
            <w:tcW w:type="dxa" w:w="6192"/>
          </w:tcPr>
          <w:p>
            <w:pPr>
              <w:spacing w:after="40"/>
            </w:pPr>
            <w:r/>
            <w:r>
              <w:rPr>
                <w:b w:val="0"/>
                <w:sz w:val="20"/>
              </w:rPr>
              <w:t>A map with no healthy capability has not been read. Marking one healthy is part of the answer.</w:t>
            </w:r>
          </w:p>
        </w:tc>
      </w:tr>
      <w:tr>
        <w:tc>
          <w:tcPr>
            <w:tcW w:type="dxa" w:w="3600"/>
          </w:tcPr>
          <w:p>
            <w:pPr>
              <w:spacing w:after="40"/>
            </w:pPr>
            <w:r/>
            <w:r>
              <w:rPr>
                <w:b/>
                <w:sz w:val="20"/>
              </w:rPr>
              <w:t>A technology word in the statement</w:t>
            </w:r>
          </w:p>
        </w:tc>
        <w:tc>
          <w:tcPr>
            <w:tcW w:type="dxa" w:w="6192"/>
          </w:tcPr>
          <w:p>
            <w:pPr>
              <w:spacing w:after="40"/>
            </w:pPr>
            <w:r/>
            <w:r>
              <w:rPr>
                <w:b w:val="0"/>
                <w:sz w:val="20"/>
              </w:rPr>
              <w:t>Two of the lines you write today are scored on technology being absent. Strike them before you present.</w:t>
            </w:r>
          </w:p>
        </w:tc>
      </w:tr>
      <w:tr>
        <w:tc>
          <w:tcPr>
            <w:tcW w:type="dxa" w:w="3600"/>
          </w:tcPr>
          <w:p>
            <w:pPr>
              <w:spacing w:after="40"/>
            </w:pPr>
            <w:r/>
            <w:r>
              <w:rPr>
                <w:b/>
                <w:sz w:val="20"/>
              </w:rPr>
              <w:t>“The governance team will be consulted”</w:t>
            </w:r>
          </w:p>
        </w:tc>
        <w:tc>
          <w:tcPr>
            <w:tcW w:type="dxa" w:w="6192"/>
          </w:tcPr>
          <w:p>
            <w:pPr>
              <w:spacing w:after="40"/>
            </w:pPr>
            <w:r/>
            <w:r>
              <w:rPr>
                <w:b w:val="0"/>
                <w:sz w:val="20"/>
              </w:rPr>
              <w:t>Names nobody who could refuse you and stops nothing. Name the body and what it blocks.</w:t>
            </w:r>
          </w:p>
        </w:tc>
      </w:tr>
    </w:tbl>
    <w:p>
      <w:pPr>
        <w:spacing w:after="80"/>
      </w:pPr>
    </w:p>
    <w:p>
      <w:r>
        <w:br w:type="page"/>
      </w:r>
    </w:p>
    <w:p>
      <w:pPr>
        <w:spacing w:before="0" w:after="80"/>
      </w:pPr>
      <w:r>
        <w:rPr>
          <w:rFonts w:ascii="Calibri" w:hAnsi="Calibri"/>
          <w:b/>
          <w:color w:val="14213D"/>
          <w:sz w:val="26"/>
        </w:rPr>
        <w:t>What the two-minute report should sound like</w:t>
      </w:r>
    </w:p>
    <w:p>
      <w:pPr>
        <w:spacing w:after="120"/>
      </w:pPr>
      <w:r>
        <w:rPr>
          <w:rFonts w:ascii="Calibri" w:hAnsi="Calibri"/>
          <w:b w:val="0"/>
          <w:i w:val="0"/>
          <w:color w:val="6B7285"/>
          <w:sz w:val="20"/>
        </w:rPr>
        <w:t>One person. Two minutes. Four sentences is enough, and it is better than six.</w:t>
      </w:r>
    </w:p>
    <w:tbl>
      <w:tblPr>
        <w:tblStyle w:val="TableGrid"/>
        <w:tblW w:type="auto" w:w="0"/>
        <w:tblLook w:firstColumn="1" w:firstRow="1" w:lastColumn="0" w:lastRow="0" w:noHBand="0" w:noVBand="1" w:val="04A0"/>
      </w:tblPr>
      <w:tblGrid>
        <w:gridCol w:w="9936"/>
      </w:tblGrid>
      <w:tr>
        <w:tc>
          <w:tcPr>
            <w:tcW w:type="dxa" w:w="9936"/>
            <w:shd w:val="clear" w:fill="F2F6FF"/>
          </w:tcPr>
          <w:p>
            <w:pPr>
              <w:spacing w:after="80"/>
            </w:pPr>
            <w:r/>
            <w:r>
              <w:rPr>
                <w:i/>
                <w:sz w:val="20"/>
              </w:rPr>
              <w:t>“We mapped six capabilities. The hottest was Resolve a Parts Query, at 22% of parts records with no verified model compatibility.</w:t>
            </w:r>
          </w:p>
          <w:p>
            <w:pPr>
              <w:spacing w:after="80"/>
            </w:pPr>
            <w:r>
              <w:rPr>
                <w:i/>
                <w:sz w:val="20"/>
              </w:rPr>
              <w:t>We marked Schedule a Visit as healthy: 94% of routes are accepted as issued, so the COO’s optimiser would have been solving a problem that is not there.</w:t>
            </w:r>
          </w:p>
          <w:p>
            <w:pPr>
              <w:spacing w:after="80"/>
            </w:pPr>
            <w:r>
              <w:rPr>
                <w:i/>
                <w:sz w:val="20"/>
              </w:rPr>
              <w:t>Our statement: Redpoint cannot resolve a parts query first time, 22% of records lack verified model compatibility, engineers make a second visit, and the Head of Field Operations carries the cost.</w:t>
            </w:r>
          </w:p>
          <w:p>
            <w:pPr>
              <w:spacing w:after="80"/>
            </w:pPr>
            <w:r>
              <w:rPr>
                <w:i/>
                <w:sz w:val="20"/>
              </w:rPr>
              <w:t>The constraint that shapes it most is the union agreement on job allocation, because any allocation can be challenged and so every recommendation must trace to a named rule.”</w:t>
            </w:r>
          </w:p>
        </w:tc>
      </w:tr>
    </w:tbl>
    <w:p>
      <w:pPr>
        <w:spacing w:after="120"/>
      </w:pPr>
    </w:p>
    <w:p>
      <w:pPr>
        <w:spacing w:before="200" w:after="80"/>
      </w:pPr>
      <w:r>
        <w:rPr>
          <w:rFonts w:ascii="Calibri" w:hAnsi="Calibri"/>
          <w:b/>
          <w:color w:val="14213D"/>
          <w:sz w:val="26"/>
        </w:rPr>
        <w:t>Your answers</w:t>
      </w:r>
    </w:p>
    <w:p>
      <w:pPr>
        <w:spacing w:after="120"/>
      </w:pPr>
      <w:r>
        <w:rPr>
          <w:rFonts w:ascii="Calibri" w:hAnsi="Calibri"/>
          <w:b w:val="0"/>
          <w:i w:val="0"/>
          <w:color w:val="6B7285"/>
          <w:sz w:val="20"/>
        </w:rPr>
        <w:t>Write here during the breakout. You will need all of it again tonight on Halden Mutual.</w:t>
      </w:r>
    </w:p>
    <w:p>
      <w:pPr>
        <w:spacing w:after="60"/>
      </w:pPr>
      <w:r>
        <w:rPr>
          <w:rFonts w:ascii="Calibri" w:hAnsi="Calibri"/>
          <w:b/>
          <w:i w:val="0"/>
          <w:color w:val="14213D"/>
          <w:sz w:val="22"/>
        </w:rPr>
        <w:t>1. Capability map</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fill="EFEDE6"/>
          </w:tcPr>
          <w:p>
            <w:r/>
            <w:r>
              <w:rPr>
                <w:b/>
                <w:sz w:val="18"/>
              </w:rPr>
              <w:t>Capability (verb + object)</w:t>
            </w:r>
          </w:p>
        </w:tc>
        <w:tc>
          <w:tcPr>
            <w:tcW w:type="dxa" w:w="2484"/>
            <w:shd w:val="clear" w:fill="EFEDE6"/>
          </w:tcPr>
          <w:p>
            <w:r/>
            <w:r>
              <w:rPr>
                <w:b/>
                <w:sz w:val="18"/>
              </w:rPr>
              <w:t>Where cost concentrates</w:t>
            </w:r>
          </w:p>
        </w:tc>
        <w:tc>
          <w:tcPr>
            <w:tcW w:type="dxa" w:w="2484"/>
            <w:shd w:val="clear" w:fill="EFEDE6"/>
          </w:tcPr>
          <w:p>
            <w:r/>
            <w:r>
              <w:rPr>
                <w:b/>
                <w:sz w:val="18"/>
              </w:rPr>
              <w:t>The number, from the pack</w:t>
            </w:r>
          </w:p>
        </w:tc>
        <w:tc>
          <w:tcPr>
            <w:tcW w:type="dxa" w:w="2484"/>
            <w:shd w:val="clear" w:fill="EFEDE6"/>
          </w:tcPr>
          <w:p>
            <w:r/>
            <w:r>
              <w:rPr>
                <w:b/>
                <w:sz w:val="18"/>
              </w:rPr>
              <w:t>Owner (named role)</w:t>
            </w:r>
          </w:p>
        </w:tc>
      </w:tr>
      <w:tr>
        <w:tc>
          <w:tcPr>
            <w:tcW w:type="dxa" w:w="2484"/>
          </w:tcPr>
          <w:p>
            <w:r/>
          </w:p>
        </w:tc>
        <w:tc>
          <w:tcPr>
            <w:tcW w:type="dxa" w:w="2484"/>
          </w:tcPr>
          <w:p>
            <w:r/>
          </w:p>
        </w:tc>
        <w:tc>
          <w:tcPr>
            <w:tcW w:type="dxa" w:w="2484"/>
          </w:tcPr>
          <w:p>
            <w:r/>
          </w:p>
        </w:tc>
        <w:tc>
          <w:tcPr>
            <w:tcW w:type="dxa" w:w="2484"/>
          </w:tcPr>
          <w:p>
            <w:r/>
          </w:p>
        </w:tc>
      </w:tr>
      <w:tr>
        <w:tc>
          <w:tcPr>
            <w:tcW w:type="dxa" w:w="2484"/>
          </w:tcPr>
          <w:p>
            <w:r/>
          </w:p>
        </w:tc>
        <w:tc>
          <w:tcPr>
            <w:tcW w:type="dxa" w:w="2484"/>
          </w:tcPr>
          <w:p>
            <w:r/>
          </w:p>
        </w:tc>
        <w:tc>
          <w:tcPr>
            <w:tcW w:type="dxa" w:w="2484"/>
          </w:tcPr>
          <w:p>
            <w:r/>
          </w:p>
        </w:tc>
        <w:tc>
          <w:tcPr>
            <w:tcW w:type="dxa" w:w="2484"/>
          </w:tcPr>
          <w:p>
            <w:r/>
          </w:p>
        </w:tc>
      </w:tr>
      <w:tr>
        <w:tc>
          <w:tcPr>
            <w:tcW w:type="dxa" w:w="2484"/>
          </w:tcPr>
          <w:p>
            <w:r/>
          </w:p>
        </w:tc>
        <w:tc>
          <w:tcPr>
            <w:tcW w:type="dxa" w:w="2484"/>
          </w:tcPr>
          <w:p>
            <w:r/>
          </w:p>
        </w:tc>
        <w:tc>
          <w:tcPr>
            <w:tcW w:type="dxa" w:w="2484"/>
          </w:tcPr>
          <w:p>
            <w:r/>
          </w:p>
        </w:tc>
        <w:tc>
          <w:tcPr>
            <w:tcW w:type="dxa" w:w="2484"/>
          </w:tcPr>
          <w:p>
            <w:r/>
          </w:p>
        </w:tc>
      </w:tr>
      <w:tr>
        <w:tc>
          <w:tcPr>
            <w:tcW w:type="dxa" w:w="2484"/>
          </w:tcPr>
          <w:p>
            <w:r/>
          </w:p>
        </w:tc>
        <w:tc>
          <w:tcPr>
            <w:tcW w:type="dxa" w:w="2484"/>
          </w:tcPr>
          <w:p>
            <w:r/>
          </w:p>
        </w:tc>
        <w:tc>
          <w:tcPr>
            <w:tcW w:type="dxa" w:w="2484"/>
          </w:tcPr>
          <w:p>
            <w:r/>
          </w:p>
        </w:tc>
        <w:tc>
          <w:tcPr>
            <w:tcW w:type="dxa" w:w="2484"/>
          </w:tcPr>
          <w:p>
            <w:r/>
          </w:p>
        </w:tc>
      </w:tr>
      <w:tr>
        <w:tc>
          <w:tcPr>
            <w:tcW w:type="dxa" w:w="2484"/>
          </w:tcPr>
          <w:p>
            <w:r/>
          </w:p>
        </w:tc>
        <w:tc>
          <w:tcPr>
            <w:tcW w:type="dxa" w:w="2484"/>
          </w:tcPr>
          <w:p>
            <w:r/>
          </w:p>
        </w:tc>
        <w:tc>
          <w:tcPr>
            <w:tcW w:type="dxa" w:w="2484"/>
          </w:tcPr>
          <w:p>
            <w:r/>
          </w:p>
        </w:tc>
        <w:tc>
          <w:tcPr>
            <w:tcW w:type="dxa" w:w="2484"/>
          </w:tcPr>
          <w:p>
            <w:r/>
          </w:p>
        </w:tc>
      </w:tr>
      <w:tr>
        <w:tc>
          <w:tcPr>
            <w:tcW w:type="dxa" w:w="2484"/>
          </w:tcPr>
          <w:p>
            <w:r/>
          </w:p>
        </w:tc>
        <w:tc>
          <w:tcPr>
            <w:tcW w:type="dxa" w:w="2484"/>
          </w:tcPr>
          <w:p>
            <w:r/>
          </w:p>
        </w:tc>
        <w:tc>
          <w:tcPr>
            <w:tcW w:type="dxa" w:w="2484"/>
          </w:tcPr>
          <w:p>
            <w:r/>
          </w:p>
        </w:tc>
        <w:tc>
          <w:tcPr>
            <w:tcW w:type="dxa" w:w="2484"/>
          </w:tcPr>
          <w:p>
            <w:r/>
          </w:p>
        </w:tc>
      </w:tr>
    </w:tbl>
    <w:p>
      <w:pPr>
        <w:spacing w:after="80"/>
      </w:pPr>
    </w:p>
    <w:p>
      <w:pPr>
        <w:spacing w:after="160"/>
      </w:pPr>
      <w:r>
        <w:rPr>
          <w:rFonts w:ascii="Calibri" w:hAnsi="Calibri"/>
          <w:b w:val="0"/>
          <w:i w:val="0"/>
          <w:color w:val="6B7285"/>
          <w:sz w:val="19"/>
        </w:rPr>
        <w:t>Mark at least one of the rows above as healthy.</w:t>
      </w:r>
    </w:p>
    <w:p>
      <w:pPr>
        <w:spacing w:after="60"/>
      </w:pPr>
      <w:r>
        <w:rPr>
          <w:rFonts w:ascii="Calibri" w:hAnsi="Calibri"/>
          <w:b/>
          <w:i w:val="0"/>
          <w:color w:val="14213D"/>
          <w:sz w:val="22"/>
        </w:rPr>
        <w:t>2. Four lenses on the hottest capability</w:t>
      </w:r>
    </w:p>
    <w:p>
      <w:pPr>
        <w:spacing w:after="40"/>
      </w:pPr>
      <w:r>
        <w:rPr>
          <w:rFonts w:ascii="Calibri" w:hAnsi="Calibri"/>
          <w:b w:val="0"/>
          <w:i w:val="0"/>
          <w:color w:val="6B7285"/>
          <w:sz w:val="20"/>
        </w:rPr>
        <w:t>Hottest capability:</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tc>
      </w:tr>
    </w:tbl>
    <w:p>
      <w:pPr>
        <w:spacing w:after="60"/>
      </w:pPr>
    </w:p>
    <w:p>
      <w:pPr>
        <w:spacing w:after="40"/>
      </w:pPr>
      <w:r>
        <w:rPr>
          <w:rFonts w:ascii="Calibri" w:hAnsi="Calibri"/>
          <w:b/>
          <w:i w:val="0"/>
          <w:color w:val="6B7285"/>
          <w:sz w:val="19"/>
        </w:rPr>
        <w:t>Cost : what it means here, and the named role it lands on</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pPr>
        <w:spacing w:after="40"/>
      </w:pPr>
      <w:r>
        <w:rPr>
          <w:rFonts w:ascii="Calibri" w:hAnsi="Calibri"/>
          <w:b/>
          <w:i w:val="0"/>
          <w:color w:val="6B7285"/>
          <w:sz w:val="19"/>
        </w:rPr>
        <w:t>Risk : what it means here, and the named role it lands on</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pPr>
        <w:spacing w:after="40"/>
      </w:pPr>
      <w:r>
        <w:rPr>
          <w:rFonts w:ascii="Calibri" w:hAnsi="Calibri"/>
          <w:b/>
          <w:i w:val="0"/>
          <w:color w:val="6B7285"/>
          <w:sz w:val="19"/>
        </w:rPr>
        <w:t>Time to value : what it means here, and the named role it lands on</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pPr>
        <w:spacing w:after="40"/>
      </w:pPr>
      <w:r>
        <w:rPr>
          <w:rFonts w:ascii="Calibri" w:hAnsi="Calibri"/>
          <w:b/>
          <w:i w:val="0"/>
          <w:color w:val="6B7285"/>
          <w:sz w:val="19"/>
        </w:rPr>
        <w:t>Adoption : what it means here, and the named role it lands on</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r>
        <w:br w:type="page"/>
      </w:r>
    </w:p>
    <w:p>
      <w:pPr>
        <w:spacing w:after="60"/>
      </w:pPr>
      <w:r>
        <w:rPr>
          <w:rFonts w:ascii="Calibri" w:hAnsi="Calibri"/>
          <w:b/>
          <w:i w:val="0"/>
          <w:color w:val="14213D"/>
          <w:sz w:val="22"/>
        </w:rPr>
        <w:t>3. Validated problem statement</w:t>
      </w:r>
    </w:p>
    <w:p>
      <w:pPr>
        <w:spacing w:after="80"/>
      </w:pPr>
      <w:r>
        <w:rPr>
          <w:rFonts w:ascii="Calibri" w:hAnsi="Calibri"/>
          <w:b w:val="0"/>
          <w:i w:val="0"/>
          <w:color w:val="6B7285"/>
          <w:sz w:val="20"/>
        </w:rPr>
        <w:t>Capability + number + consequence + named role. No technology words.</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p>
            <w:pPr>
              <w:spacing w:after="60"/>
            </w:pPr>
            <w:r>
              <w:rPr>
                <w:sz w:val="21"/>
              </w:rPr>
            </w:r>
          </w:p>
        </w:tc>
      </w:tr>
    </w:tbl>
    <w:p>
      <w:pPr>
        <w:spacing w:after="60"/>
      </w:pPr>
    </w:p>
    <w:p>
      <w:pPr>
        <w:spacing w:after="60"/>
      </w:pPr>
      <w:r>
        <w:rPr>
          <w:rFonts w:ascii="Calibri" w:hAnsi="Calibri"/>
          <w:b/>
          <w:i w:val="0"/>
          <w:color w:val="14213D"/>
          <w:sz w:val="22"/>
        </w:rPr>
        <w:t>4. The governance body or constraint that most shapes what Redpoint can do</w:t>
      </w:r>
    </w:p>
    <w:p>
      <w:pPr>
        <w:spacing w:after="40"/>
      </w:pPr>
      <w:r>
        <w:rPr>
          <w:rFonts w:ascii="Calibri" w:hAnsi="Calibri"/>
          <w:b/>
          <w:i w:val="0"/>
          <w:color w:val="6B7285"/>
          <w:sz w:val="19"/>
        </w:rPr>
        <w:t>Name it, and say what it stops Redpoint doing</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p>
            <w:pPr>
              <w:spacing w:after="60"/>
            </w:pPr>
            <w:r>
              <w:rPr>
                <w:sz w:val="21"/>
              </w:rPr>
            </w:r>
          </w:p>
        </w:tc>
      </w:tr>
    </w:tbl>
    <w:p>
      <w:pPr>
        <w:spacing w:after="60"/>
      </w:pPr>
    </w:p>
    <w:p>
      <w:pPr>
        <w:spacing w:before="200" w:after="80"/>
      </w:pPr>
      <w:r>
        <w:rPr>
          <w:rFonts w:ascii="Calibri" w:hAnsi="Calibri"/>
          <w:b/>
          <w:color w:val="14213D"/>
          <w:sz w:val="26"/>
        </w:rPr>
        <w:t>Peer review, inside the 35 minutes</w:t>
      </w:r>
    </w:p>
    <w:p>
      <w:pPr>
        <w:spacing w:after="120"/>
      </w:pPr>
      <w:r>
        <w:rPr>
          <w:rFonts w:ascii="Calibri" w:hAnsi="Calibri"/>
          <w:b w:val="0"/>
          <w:i w:val="0"/>
          <w:color w:val="6B7285"/>
          <w:sz w:val="20"/>
        </w:rPr>
        <w:t>Read a podmate’s work, not your own. Tick what you checked. Then tell them the single most important thing, not all five.</w:t>
      </w:r>
    </w:p>
    <w:tbl>
      <w:tblPr>
        <w:tblStyle w:val="TableGrid"/>
        <w:tblW w:type="auto" w:w="0"/>
        <w:tblLook w:firstColumn="1" w:firstRow="1" w:lastColumn="0" w:lastRow="0" w:noHBand="0" w:noVBand="1" w:val="04A0"/>
      </w:tblPr>
      <w:tblGrid>
        <w:gridCol w:w="4968"/>
        <w:gridCol w:w="4968"/>
      </w:tblGrid>
      <w:tr>
        <w:tc>
          <w:tcPr>
            <w:tcW w:type="dxa" w:w="2592"/>
            <w:shd w:val="clear" w:fill="EFEDE6"/>
          </w:tcPr>
          <w:p>
            <w:r/>
            <w:r>
              <w:rPr>
                <w:b/>
                <w:color w:val="14213D"/>
                <w:sz w:val="19"/>
              </w:rPr>
              <w:t>Check</w:t>
            </w:r>
          </w:p>
        </w:tc>
        <w:tc>
          <w:tcPr>
            <w:tcW w:type="dxa" w:w="7200"/>
            <w:shd w:val="clear" w:fill="EFEDE6"/>
          </w:tcPr>
          <w:p>
            <w:r/>
            <w:r>
              <w:rPr>
                <w:b/>
                <w:color w:val="14213D"/>
                <w:sz w:val="19"/>
              </w:rPr>
              <w:t>Flag it if</w:t>
            </w:r>
          </w:p>
        </w:tc>
      </w:tr>
      <w:tr>
        <w:tc>
          <w:tcPr>
            <w:tcW w:type="dxa" w:w="2592"/>
          </w:tcPr>
          <w:p>
            <w:pPr>
              <w:spacing w:after="40"/>
            </w:pPr>
            <w:r/>
            <w:r>
              <w:rPr>
                <w:b/>
                <w:sz w:val="20"/>
              </w:rPr>
              <w:t>Capability level</w:t>
            </w:r>
          </w:p>
        </w:tc>
        <w:tc>
          <w:tcPr>
            <w:tcW w:type="dxa" w:w="7200"/>
          </w:tcPr>
          <w:p>
            <w:pPr>
              <w:spacing w:after="40"/>
            </w:pPr>
            <w:r/>
            <w:r>
              <w:rPr>
                <w:b w:val="0"/>
                <w:sz w:val="20"/>
              </w:rPr>
              <w:t>A row is an activity or a team rather than a verb and an object.</w:t>
            </w:r>
          </w:p>
        </w:tc>
      </w:tr>
      <w:tr>
        <w:tc>
          <w:tcPr>
            <w:tcW w:type="dxa" w:w="2592"/>
          </w:tcPr>
          <w:p>
            <w:pPr>
              <w:spacing w:after="40"/>
            </w:pPr>
            <w:r/>
            <w:r>
              <w:rPr>
                <w:b/>
                <w:sz w:val="20"/>
              </w:rPr>
              <w:t>The numbers</w:t>
            </w:r>
          </w:p>
        </w:tc>
        <w:tc>
          <w:tcPr>
            <w:tcW w:type="dxa" w:w="7200"/>
          </w:tcPr>
          <w:p>
            <w:pPr>
              <w:spacing w:after="40"/>
            </w:pPr>
            <w:r/>
            <w:r>
              <w:rPr>
                <w:b w:val="0"/>
                <w:sz w:val="20"/>
              </w:rPr>
              <w:t>A marker has no number, or a number has no source in the pack.</w:t>
            </w:r>
          </w:p>
        </w:tc>
      </w:tr>
      <w:tr>
        <w:tc>
          <w:tcPr>
            <w:tcW w:type="dxa" w:w="2592"/>
          </w:tcPr>
          <w:p>
            <w:pPr>
              <w:spacing w:after="40"/>
            </w:pPr>
            <w:r/>
            <w:r>
              <w:rPr>
                <w:b/>
                <w:sz w:val="20"/>
              </w:rPr>
              <w:t>The lenses</w:t>
            </w:r>
          </w:p>
        </w:tc>
        <w:tc>
          <w:tcPr>
            <w:tcW w:type="dxa" w:w="7200"/>
          </w:tcPr>
          <w:p>
            <w:pPr>
              <w:spacing w:after="40"/>
            </w:pPr>
            <w:r/>
            <w:r>
              <w:rPr>
                <w:b w:val="0"/>
                <w:sz w:val="20"/>
              </w:rPr>
              <w:t>A lens ends in “the business” rather than a named role, or a lens is missing.</w:t>
            </w:r>
          </w:p>
        </w:tc>
      </w:tr>
      <w:tr>
        <w:tc>
          <w:tcPr>
            <w:tcW w:type="dxa" w:w="2592"/>
          </w:tcPr>
          <w:p>
            <w:pPr>
              <w:spacing w:after="40"/>
            </w:pPr>
            <w:r/>
            <w:r>
              <w:rPr>
                <w:b/>
                <w:sz w:val="20"/>
              </w:rPr>
              <w:t>The statement</w:t>
            </w:r>
          </w:p>
        </w:tc>
        <w:tc>
          <w:tcPr>
            <w:tcW w:type="dxa" w:w="7200"/>
          </w:tcPr>
          <w:p>
            <w:pPr>
              <w:spacing w:after="40"/>
            </w:pPr>
            <w:r/>
            <w:r>
              <w:rPr>
                <w:b w:val="0"/>
                <w:sz w:val="20"/>
              </w:rPr>
              <w:t>Any technology word appears, or the consequence is missing.</w:t>
            </w:r>
          </w:p>
        </w:tc>
      </w:tr>
      <w:tr>
        <w:tc>
          <w:tcPr>
            <w:tcW w:type="dxa" w:w="2592"/>
          </w:tcPr>
          <w:p>
            <w:pPr>
              <w:spacing w:after="40"/>
            </w:pPr>
            <w:r/>
            <w:r>
              <w:rPr>
                <w:b/>
                <w:sz w:val="20"/>
              </w:rPr>
              <w:t>Governance</w:t>
            </w:r>
          </w:p>
        </w:tc>
        <w:tc>
          <w:tcPr>
            <w:tcW w:type="dxa" w:w="7200"/>
          </w:tcPr>
          <w:p>
            <w:pPr>
              <w:spacing w:after="40"/>
            </w:pPr>
            <w:r/>
            <w:r>
              <w:rPr>
                <w:b w:val="0"/>
                <w:sz w:val="20"/>
              </w:rPr>
              <w:t>“The governance team” rather than a named body and what it blocks.</w:t>
            </w:r>
          </w:p>
        </w:tc>
      </w:tr>
    </w:tbl>
    <w:p>
      <w:pPr>
        <w:spacing w:after="80"/>
      </w:pPr>
    </w:p>
    <w:p>
      <w:pPr>
        <w:spacing w:after="40"/>
      </w:pPr>
      <w:r>
        <w:rPr>
          <w:rFonts w:ascii="Calibri" w:hAnsi="Calibri"/>
          <w:b/>
          <w:i w:val="0"/>
          <w:color w:val="6B7285"/>
          <w:sz w:val="19"/>
        </w:rPr>
        <w:t>The one thing my reviewer flagged, and what I changed because of it</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pPr>
        <w:spacing w:after="160"/>
      </w:pPr>
      <w:r>
        <w:rPr>
          <w:rFonts w:ascii="Calibri" w:hAnsi="Calibri"/>
          <w:b/>
          <w:i w:val="0"/>
          <w:color w:val="E5533D"/>
          <w:sz w:val="19"/>
        </w:rPr>
        <w:t>Copy this into section 10 of your Halden document tonight. It is a scored line.</w:t>
      </w:r>
    </w:p>
    <w:p>
      <w:pPr>
        <w:spacing w:before="200" w:after="80"/>
      </w:pPr>
      <w:r>
        <w:rPr>
          <w:rFonts w:ascii="Calibri" w:hAnsi="Calibri"/>
          <w:b/>
          <w:color w:val="14213D"/>
          <w:sz w:val="24"/>
        </w:rPr>
        <w:t>Your pod</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fill="EFEDE6"/>
          </w:tcPr>
          <w:p>
            <w:r/>
            <w:r>
              <w:rPr>
                <w:b/>
                <w:sz w:val="19"/>
              </w:rPr>
              <w:t>Pod number</w:t>
            </w:r>
          </w:p>
        </w:tc>
        <w:tc>
          <w:tcPr>
            <w:tcW w:type="dxa" w:w="2484"/>
            <w:shd w:val="clear" w:fill="EFEDE6"/>
          </w:tcPr>
          <w:p>
            <w:r/>
            <w:r>
              <w:rPr>
                <w:b/>
                <w:sz w:val="19"/>
              </w:rPr>
              <w:t>Who is presenting</w:t>
            </w:r>
          </w:p>
        </w:tc>
        <w:tc>
          <w:tcPr>
            <w:tcW w:type="dxa" w:w="2484"/>
            <w:shd w:val="clear" w:fill="EFEDE6"/>
          </w:tcPr>
          <w:p>
            <w:r/>
            <w:r>
              <w:rPr>
                <w:b/>
                <w:sz w:val="19"/>
              </w:rPr>
              <w:t>Who reviewed my work</w:t>
            </w:r>
          </w:p>
        </w:tc>
        <w:tc>
          <w:tcPr>
            <w:tcW w:type="dxa" w:w="2484"/>
            <w:shd w:val="clear" w:fill="EFEDE6"/>
          </w:tcPr>
          <w:p>
            <w:r/>
            <w:r>
              <w:rPr>
                <w:b/>
                <w:sz w:val="19"/>
              </w:rPr>
              <w:t>Timekeeper</w:t>
            </w:r>
          </w:p>
        </w:tc>
      </w:tr>
      <w:tr>
        <w:tc>
          <w:tcPr>
            <w:tcW w:type="dxa" w:w="2484"/>
          </w:tcPr>
          <w:p>
            <w:r/>
          </w:p>
        </w:tc>
        <w:tc>
          <w:tcPr>
            <w:tcW w:type="dxa" w:w="2484"/>
          </w:tcPr>
          <w:p>
            <w:r/>
          </w:p>
        </w:tc>
        <w:tc>
          <w:tcPr>
            <w:tcW w:type="dxa" w:w="2484"/>
          </w:tcPr>
          <w:p>
            <w:r/>
          </w:p>
        </w:tc>
        <w:tc>
          <w:tcPr>
            <w:tcW w:type="dxa" w:w="2484"/>
          </w:tcPr>
          <w:p>
            <w:r/>
          </w:p>
        </w:tc>
      </w:tr>
    </w:tbl>
    <w:p>
      <w:pPr>
        <w:spacing w:after="80"/>
      </w:pPr>
    </w:p>
    <w:p>
      <w:pPr>
        <w:spacing w:before="200" w:after="80"/>
      </w:pPr>
      <w:r>
        <w:rPr>
          <w:rFonts w:ascii="Calibri" w:hAnsi="Calibri"/>
          <w:b/>
          <w:color w:val="14213D"/>
          <w:sz w:val="24"/>
        </w:rPr>
        <w:t>House rules for the 35 minutes</w:t>
      </w:r>
    </w:p>
    <w:p>
      <w:pPr>
        <w:pStyle w:val="ListBullet"/>
        <w:spacing w:after="40"/>
      </w:pPr>
      <w:r>
        <w:rPr>
          <w:sz w:val="21"/>
        </w:rPr>
        <w:t>You get 35 minutes. There is no reading time inside it, so read this document before class.</w:t>
      </w:r>
    </w:p>
    <w:p>
      <w:pPr>
        <w:pStyle w:val="ListBullet"/>
        <w:spacing w:after="40"/>
      </w:pPr>
      <w:r>
        <w:rPr>
          <w:sz w:val="21"/>
        </w:rPr>
        <w:t>Nothing from this breakout is collected or marked. It is practice.</w:t>
      </w:r>
    </w:p>
    <w:p>
      <w:pPr>
        <w:pStyle w:val="ListBullet"/>
        <w:spacing w:after="40"/>
      </w:pPr>
      <w:r>
        <w:rPr>
          <w:sz w:val="21"/>
        </w:rPr>
        <w:t>Your pod reasons together. Each of you writes your own answers. Identical documents help nobody.</w:t>
      </w:r>
    </w:p>
    <w:p>
      <w:pPr>
        <w:pStyle w:val="ListBullet"/>
        <w:spacing w:after="40"/>
      </w:pPr>
      <w:r>
        <w:rPr>
          <w:sz w:val="21"/>
        </w:rPr>
        <w:t>Peer review happens inside the 35 minutes, not after. Swap with a podmate before anyone presents.</w:t>
      </w:r>
    </w:p>
    <w:p>
      <w:pPr>
        <w:pStyle w:val="ListBullet"/>
        <w:spacing w:after="40"/>
      </w:pPr>
      <w:r>
        <w:rPr>
          <w:sz w:val="21"/>
        </w:rPr>
        <w:t>Pick who presents before the timer ends. Running out of time while deciding is the most common way pods overrun.</w:t>
      </w:r>
    </w:p>
    <w:p>
      <w:pPr>
        <w:pStyle w:val="ListBullet"/>
        <w:spacing w:after="40"/>
      </w:pPr>
      <w:r>
        <w:rPr>
          <w:sz w:val="21"/>
        </w:rPr>
        <w:t>Tonight you write the same sections on Halden Mutual, alone. That document is the one you submit.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