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8DD4F" w14:textId="77777777" w:rsidR="000476F4" w:rsidRDefault="003B3BB5">
      <w:pPr>
        <w:spacing w:after="40"/>
      </w:pPr>
      <w:r>
        <w:rPr>
          <w:b/>
          <w:color w:val="1B65F5"/>
          <w:sz w:val="18"/>
        </w:rPr>
        <w:t>AI SOLUTION ARCHITECT</w:t>
      </w:r>
    </w:p>
    <w:p w14:paraId="392EEADA" w14:textId="77777777" w:rsidR="000476F4" w:rsidRDefault="003B3BB5">
      <w:pPr>
        <w:spacing w:after="40"/>
      </w:pPr>
      <w:r>
        <w:rPr>
          <w:b/>
          <w:color w:val="14213D"/>
          <w:sz w:val="44"/>
        </w:rPr>
        <w:t>Week 1 submission</w:t>
      </w:r>
    </w:p>
    <w:p w14:paraId="57F48E27" w14:textId="77777777" w:rsidR="000476F4" w:rsidRDefault="003B3BB5">
      <w:r>
        <w:rPr>
          <w:color w:val="6B7285"/>
          <w:sz w:val="24"/>
        </w:rPr>
        <w:t>Business Pain Map + Validated Problem Statement</w:t>
      </w:r>
    </w:p>
    <w:p w14:paraId="5BFE49A7" w14:textId="77777777" w:rsidR="000476F4" w:rsidRDefault="003B3BB5">
      <w:pPr>
        <w:spacing w:after="60"/>
      </w:pPr>
      <w:r>
        <w:rPr>
          <w:b/>
          <w:color w:val="14213D"/>
          <w:sz w:val="22"/>
        </w:rPr>
        <w:t>Before you start</w:t>
      </w:r>
    </w:p>
    <w:p w14:paraId="455C838E" w14:textId="77777777" w:rsidR="000476F4" w:rsidRDefault="003B3BB5">
      <w:pPr>
        <w:pStyle w:val="ListBullet"/>
        <w:spacing w:after="40"/>
      </w:pPr>
      <w:r>
        <w:t>Fill every field. An empty field scores zero on its rubric line, not a partial mark.</w:t>
      </w:r>
    </w:p>
    <w:p w14:paraId="092FAA0B" w14:textId="77777777" w:rsidR="000476F4" w:rsidRDefault="003B3BB5">
      <w:pPr>
        <w:pStyle w:val="ListBullet"/>
        <w:spacing w:after="40"/>
      </w:pPr>
      <w:r>
        <w:t>Keep each answer short. One or two sentences is enough everywhere except section 5.1.</w:t>
      </w:r>
    </w:p>
    <w:p w14:paraId="049B181B" w14:textId="77777777" w:rsidR="000476F4" w:rsidRDefault="003B3BB5">
      <w:pPr>
        <w:pStyle w:val="ListBullet"/>
        <w:spacing w:after="40"/>
      </w:pPr>
      <w:r>
        <w:t>Do not delete, rename or reorder any heading or field label. The checker finds your answers by them.</w:t>
      </w:r>
    </w:p>
    <w:p w14:paraId="4CF86873" w14:textId="77777777" w:rsidR="000476F4" w:rsidRDefault="003B3BB5">
      <w:pPr>
        <w:pStyle w:val="ListBullet"/>
        <w:spacing w:after="40"/>
      </w:pPr>
      <w:r>
        <w:t>Sections 1 to 5 must name no technology. Section 1 is the exception: it quotes the request as given.</w:t>
      </w:r>
    </w:p>
    <w:p w14:paraId="70CBD6CC" w14:textId="77777777" w:rsidR="000476F4" w:rsidRDefault="003B3BB5">
      <w:pPr>
        <w:pStyle w:val="ListBullet"/>
        <w:spacing w:after="40"/>
      </w:pPr>
      <w:r>
        <w:t>Run the pre-checker before you submit. Submit only once it says PASS.</w:t>
      </w:r>
    </w:p>
    <w:p w14:paraId="56FC33D6" w14:textId="77777777" w:rsidR="000476F4" w:rsidRDefault="003B3BB5">
      <w:pPr>
        <w:pStyle w:val="ListBullet"/>
        <w:spacing w:after="40"/>
      </w:pPr>
      <w:r>
        <w:t>Save as &lt;YourUID&gt;.docx, using the UID from the participant list, for example A2041.docx. Nothing else in the file name.</w:t>
      </w:r>
    </w:p>
    <w:p w14:paraId="245D8FF5" w14:textId="77777777" w:rsidR="000476F4" w:rsidRDefault="000476F4">
      <w:pPr>
        <w:spacing w:after="120"/>
      </w:pPr>
    </w:p>
    <w:tbl>
      <w:tblPr>
        <w:tblStyle w:val="TableGrid"/>
        <w:tblW w:w="0" w:type="auto"/>
        <w:tblLook w:val="04A0" w:firstRow="1" w:lastRow="0" w:firstColumn="1" w:lastColumn="0" w:noHBand="0" w:noVBand="1"/>
      </w:tblPr>
      <w:tblGrid>
        <w:gridCol w:w="4968"/>
        <w:gridCol w:w="4968"/>
      </w:tblGrid>
      <w:tr w:rsidR="000476F4" w14:paraId="072EB000" w14:textId="77777777">
        <w:tc>
          <w:tcPr>
            <w:tcW w:w="4968" w:type="dxa"/>
            <w:shd w:val="clear" w:color="auto" w:fill="EFEDE6"/>
          </w:tcPr>
          <w:p w14:paraId="34685D1B" w14:textId="77777777" w:rsidR="000476F4" w:rsidRDefault="003B3BB5">
            <w:r>
              <w:rPr>
                <w:sz w:val="18"/>
              </w:rPr>
              <w:t>UID</w:t>
            </w:r>
          </w:p>
        </w:tc>
        <w:tc>
          <w:tcPr>
            <w:tcW w:w="4968" w:type="dxa"/>
          </w:tcPr>
          <w:p w14:paraId="22C8AA01" w14:textId="672A3B51" w:rsidR="000476F4" w:rsidRDefault="00711590">
            <w:r>
              <w:t>262827</w:t>
            </w:r>
          </w:p>
        </w:tc>
      </w:tr>
    </w:tbl>
    <w:p w14:paraId="252295FE" w14:textId="77777777" w:rsidR="000476F4" w:rsidRDefault="003B3BB5">
      <w:r>
        <w:br w:type="page"/>
      </w:r>
    </w:p>
    <w:p w14:paraId="3AE0E845" w14:textId="77777777" w:rsidR="000476F4" w:rsidRDefault="003B3BB5">
      <w:pPr>
        <w:spacing w:after="20"/>
      </w:pPr>
      <w:r>
        <w:rPr>
          <w:b/>
          <w:color w:val="1B65F5"/>
          <w:sz w:val="17"/>
        </w:rPr>
        <w:lastRenderedPageBreak/>
        <w:t>SECTION 1</w:t>
      </w:r>
    </w:p>
    <w:p w14:paraId="613B8558" w14:textId="77777777" w:rsidR="000476F4" w:rsidRDefault="003B3BB5">
      <w:pPr>
        <w:spacing w:after="120"/>
      </w:pPr>
      <w:r>
        <w:rPr>
          <w:b/>
          <w:color w:val="14213D"/>
          <w:sz w:val="28"/>
        </w:rPr>
        <w:t>The request as it was given to you</w:t>
      </w:r>
    </w:p>
    <w:p w14:paraId="4377587C" w14:textId="77777777" w:rsidR="000476F4" w:rsidRDefault="003B3BB5">
      <w:pPr>
        <w:spacing w:after="20"/>
      </w:pPr>
      <w:r>
        <w:rPr>
          <w:b/>
          <w:color w:val="14213D"/>
        </w:rPr>
        <w:t>1.1 Quote the original request, word for word:</w:t>
      </w:r>
    </w:p>
    <w:p w14:paraId="548A6CE1" w14:textId="77777777" w:rsidR="000476F4" w:rsidRDefault="003B3BB5">
      <w:pPr>
        <w:spacing w:after="60"/>
      </w:pPr>
      <w:r>
        <w:rPr>
          <w:i/>
          <w:color w:val="6B7285"/>
          <w:sz w:val="18"/>
        </w:rPr>
        <w:t>Paste the sponsor's own words. Technology names are expected here and are not penalised.</w:t>
      </w:r>
    </w:p>
    <w:tbl>
      <w:tblPr>
        <w:tblStyle w:val="TableGrid"/>
        <w:tblW w:w="0" w:type="auto"/>
        <w:tblLook w:val="04A0" w:firstRow="1" w:lastRow="0" w:firstColumn="1" w:lastColumn="0" w:noHBand="0" w:noVBand="1"/>
      </w:tblPr>
      <w:tblGrid>
        <w:gridCol w:w="9936"/>
      </w:tblGrid>
      <w:tr w:rsidR="000476F4" w14:paraId="0CD3035C" w14:textId="77777777">
        <w:tc>
          <w:tcPr>
            <w:tcW w:w="9936" w:type="dxa"/>
            <w:shd w:val="clear" w:color="auto" w:fill="FBFAF7"/>
          </w:tcPr>
          <w:p w14:paraId="5D7FD9CA" w14:textId="77777777" w:rsidR="000476F4" w:rsidRDefault="003B3BB5">
            <w:r>
              <w:rPr>
                <w:sz w:val="18"/>
              </w:rPr>
              <w:t>"I have been reading about what the insurtechs are doing with AI claims handling. Several of them now auto-settle low-value claims in under an hour with no human involvement at all. Our members wait weeks. I want us to build an AI claims engine that auto-settles anything under 25,000, and I want a plan for it before the next board meeting. This feels like exactly the kind of thing we should have done two years ago."</w:t>
            </w:r>
          </w:p>
        </w:tc>
      </w:tr>
    </w:tbl>
    <w:p w14:paraId="1634A642" w14:textId="77777777" w:rsidR="000476F4" w:rsidRDefault="000476F4">
      <w:pPr>
        <w:spacing w:after="40"/>
      </w:pPr>
    </w:p>
    <w:p w14:paraId="7CDAF08A" w14:textId="77777777" w:rsidR="000476F4" w:rsidRDefault="003B3BB5">
      <w:pPr>
        <w:spacing w:after="20"/>
      </w:pPr>
      <w:r>
        <w:rPr>
          <w:b/>
          <w:color w:val="14213D"/>
        </w:rPr>
        <w:t>1.2 Who said it, and what is their role:</w:t>
      </w:r>
    </w:p>
    <w:p w14:paraId="764AD1AB" w14:textId="77777777" w:rsidR="000476F4" w:rsidRDefault="003B3BB5">
      <w:pPr>
        <w:spacing w:after="60"/>
      </w:pPr>
      <w:r>
        <w:rPr>
          <w:i/>
          <w:color w:val="6B7285"/>
          <w:sz w:val="18"/>
        </w:rPr>
        <w:t>e.g. Chief Operating Officer</w:t>
      </w:r>
    </w:p>
    <w:tbl>
      <w:tblPr>
        <w:tblStyle w:val="TableGrid"/>
        <w:tblW w:w="0" w:type="auto"/>
        <w:tblLook w:val="04A0" w:firstRow="1" w:lastRow="0" w:firstColumn="1" w:lastColumn="0" w:noHBand="0" w:noVBand="1"/>
      </w:tblPr>
      <w:tblGrid>
        <w:gridCol w:w="9936"/>
      </w:tblGrid>
      <w:tr w:rsidR="000476F4" w14:paraId="407674B1" w14:textId="77777777">
        <w:tc>
          <w:tcPr>
            <w:tcW w:w="9936" w:type="dxa"/>
            <w:shd w:val="clear" w:color="auto" w:fill="FBFAF7"/>
          </w:tcPr>
          <w:p w14:paraId="2F5A90EC" w14:textId="77777777" w:rsidR="000476F4" w:rsidRDefault="003B3BB5">
            <w:r>
              <w:rPr>
                <w:sz w:val="18"/>
              </w:rPr>
              <w:t>Chief Operating Officer (COO), Halden Mutual.</w:t>
            </w:r>
          </w:p>
        </w:tc>
      </w:tr>
    </w:tbl>
    <w:p w14:paraId="1B6784AB" w14:textId="77777777" w:rsidR="000476F4" w:rsidRDefault="000476F4">
      <w:pPr>
        <w:spacing w:after="40"/>
      </w:pPr>
    </w:p>
    <w:p w14:paraId="6D5949D8" w14:textId="77777777" w:rsidR="000476F4" w:rsidRDefault="000476F4">
      <w:pPr>
        <w:spacing w:after="160"/>
      </w:pPr>
    </w:p>
    <w:p w14:paraId="1572C661" w14:textId="77777777" w:rsidR="000476F4" w:rsidRDefault="003B3BB5">
      <w:pPr>
        <w:spacing w:after="20"/>
      </w:pPr>
      <w:r>
        <w:rPr>
          <w:b/>
          <w:color w:val="1B65F5"/>
          <w:sz w:val="17"/>
        </w:rPr>
        <w:t>SECTION 2</w:t>
      </w:r>
    </w:p>
    <w:p w14:paraId="6F3121B8" w14:textId="77777777" w:rsidR="000476F4" w:rsidRDefault="003B3BB5">
      <w:pPr>
        <w:spacing w:after="120"/>
      </w:pPr>
      <w:r>
        <w:rPr>
          <w:b/>
          <w:color w:val="14213D"/>
          <w:sz w:val="28"/>
        </w:rPr>
        <w:t>Business capability map</w:t>
      </w:r>
    </w:p>
    <w:p w14:paraId="4AE78FAC" w14:textId="77777777" w:rsidR="000476F4" w:rsidRDefault="003B3BB5">
      <w:pPr>
        <w:spacing w:after="40"/>
      </w:pPr>
      <w:r>
        <w:rPr>
          <w:b/>
          <w:color w:val="14213D"/>
        </w:rPr>
        <w:t>2.T CAPABILITY TABLE</w:t>
      </w:r>
    </w:p>
    <w:p w14:paraId="307F8ED4" w14:textId="77777777" w:rsidR="000476F4" w:rsidRDefault="003B3BB5">
      <w:pPr>
        <w:spacing w:after="80"/>
      </w:pPr>
      <w:r>
        <w:rPr>
          <w:i/>
          <w:color w:val="6B7285"/>
          <w:sz w:val="18"/>
        </w:rPr>
        <w:t>4 to 6 rows. Each capability is a noun phrase the business would recognise, not an activity.</w:t>
      </w:r>
    </w:p>
    <w:tbl>
      <w:tblPr>
        <w:tblStyle w:val="TableGrid"/>
        <w:tblW w:w="0" w:type="auto"/>
        <w:tblLook w:val="04A0" w:firstRow="1" w:lastRow="0" w:firstColumn="1" w:lastColumn="0" w:noHBand="0" w:noVBand="1"/>
      </w:tblPr>
      <w:tblGrid>
        <w:gridCol w:w="3312"/>
        <w:gridCol w:w="3312"/>
        <w:gridCol w:w="3312"/>
      </w:tblGrid>
      <w:tr w:rsidR="000476F4" w14:paraId="5AEF8052" w14:textId="77777777">
        <w:tc>
          <w:tcPr>
            <w:tcW w:w="3312" w:type="dxa"/>
            <w:shd w:val="clear" w:color="auto" w:fill="EFEDE6"/>
          </w:tcPr>
          <w:p w14:paraId="28973096" w14:textId="77777777" w:rsidR="000476F4" w:rsidRDefault="003B3BB5">
            <w:r>
              <w:rPr>
                <w:b/>
                <w:sz w:val="18"/>
              </w:rPr>
              <w:t>Capability (noun phrase)</w:t>
            </w:r>
          </w:p>
        </w:tc>
        <w:tc>
          <w:tcPr>
            <w:tcW w:w="3312" w:type="dxa"/>
            <w:shd w:val="clear" w:color="auto" w:fill="EFEDE6"/>
          </w:tcPr>
          <w:p w14:paraId="4B2FAE9A" w14:textId="77777777" w:rsidR="000476F4" w:rsidRDefault="003B3BB5">
            <w:r>
              <w:rPr>
                <w:b/>
                <w:sz w:val="18"/>
              </w:rPr>
              <w:t>Where cost or friction concentrates</w:t>
            </w:r>
          </w:p>
        </w:tc>
        <w:tc>
          <w:tcPr>
            <w:tcW w:w="3312" w:type="dxa"/>
            <w:shd w:val="clear" w:color="auto" w:fill="EFEDE6"/>
          </w:tcPr>
          <w:p w14:paraId="7F4A280D" w14:textId="77777777" w:rsidR="000476F4" w:rsidRDefault="003B3BB5">
            <w:r>
              <w:rPr>
                <w:b/>
                <w:sz w:val="18"/>
              </w:rPr>
              <w:t>Owner (role)</w:t>
            </w:r>
          </w:p>
        </w:tc>
      </w:tr>
      <w:tr w:rsidR="000476F4" w14:paraId="24F5E7F5" w14:textId="77777777">
        <w:tc>
          <w:tcPr>
            <w:tcW w:w="3312" w:type="dxa"/>
          </w:tcPr>
          <w:p w14:paraId="311A9E89" w14:textId="77777777" w:rsidR="000476F4" w:rsidRDefault="003B3BB5">
            <w:r>
              <w:rPr>
                <w:sz w:val="18"/>
              </w:rPr>
              <w:t>Claim Registration</w:t>
            </w:r>
          </w:p>
        </w:tc>
        <w:tc>
          <w:tcPr>
            <w:tcW w:w="3312" w:type="dxa"/>
          </w:tcPr>
          <w:p w14:paraId="6540B1F4" w14:textId="7338153E" w:rsidR="000476F4" w:rsidRDefault="00DE3D7F">
            <w:r w:rsidRPr="00DE3D7F">
              <w:rPr>
                <w:sz w:val="18"/>
              </w:rPr>
              <w:t>Healthy: 94% logged within one working day; 4-hour mean; 11 member complaints in 12 months.</w:t>
            </w:r>
          </w:p>
        </w:tc>
        <w:tc>
          <w:tcPr>
            <w:tcW w:w="3312" w:type="dxa"/>
          </w:tcPr>
          <w:p w14:paraId="7DF7C2B7" w14:textId="77777777" w:rsidR="000476F4" w:rsidRDefault="003B3BB5">
            <w:r>
              <w:rPr>
                <w:sz w:val="18"/>
              </w:rPr>
              <w:t>Head of Claims Operations</w:t>
            </w:r>
          </w:p>
        </w:tc>
      </w:tr>
      <w:tr w:rsidR="000476F4" w14:paraId="42F459D8" w14:textId="77777777">
        <w:tc>
          <w:tcPr>
            <w:tcW w:w="3312" w:type="dxa"/>
          </w:tcPr>
          <w:p w14:paraId="08D0770D" w14:textId="77777777" w:rsidR="000476F4" w:rsidRDefault="003B3BB5">
            <w:r>
              <w:rPr>
                <w:sz w:val="18"/>
              </w:rPr>
              <w:t>Coverage Validation</w:t>
            </w:r>
          </w:p>
        </w:tc>
        <w:tc>
          <w:tcPr>
            <w:tcW w:w="3312" w:type="dxa"/>
          </w:tcPr>
          <w:p w14:paraId="4073E76B" w14:textId="4F428FEB" w:rsidR="000476F4" w:rsidRDefault="00374B00">
            <w:r w:rsidRPr="00374B00">
              <w:rPr>
                <w:sz w:val="18"/>
              </w:rPr>
              <w:t>High friction, largest traced source of delay: 11 working days on average; 38% of it missing or unobtainable policy documents; 31% on the acquired book, documents held elsewhere (basis to be confirmed); request-to-receipt time not currently measured.</w:t>
            </w:r>
          </w:p>
        </w:tc>
        <w:tc>
          <w:tcPr>
            <w:tcW w:w="3312" w:type="dxa"/>
          </w:tcPr>
          <w:p w14:paraId="3981C877" w14:textId="77777777" w:rsidR="000476F4" w:rsidRDefault="003B3BB5">
            <w:r>
              <w:rPr>
                <w:sz w:val="18"/>
              </w:rPr>
              <w:t>Head of Underwriting Services</w:t>
            </w:r>
          </w:p>
        </w:tc>
      </w:tr>
      <w:tr w:rsidR="000476F4" w14:paraId="2956C30C" w14:textId="77777777">
        <w:tc>
          <w:tcPr>
            <w:tcW w:w="3312" w:type="dxa"/>
          </w:tcPr>
          <w:p w14:paraId="33277A6D" w14:textId="77777777" w:rsidR="000476F4" w:rsidRDefault="003B3BB5">
            <w:r>
              <w:rPr>
                <w:sz w:val="18"/>
              </w:rPr>
              <w:t>Adjuster Assignment</w:t>
            </w:r>
          </w:p>
        </w:tc>
        <w:tc>
          <w:tcPr>
            <w:tcW w:w="3312" w:type="dxa"/>
          </w:tcPr>
          <w:p w14:paraId="0C9081F7" w14:textId="095DF62B" w:rsidR="000476F4" w:rsidRDefault="00914917">
            <w:r w:rsidRPr="00914917">
              <w:rPr>
                <w:sz w:val="18"/>
              </w:rPr>
              <w:t>High friction: 31% reassigned at least once, most often for lacking the specialist licence; 2 working days mean to assign; 84 licensed adjusters for 14,800 claims a year.</w:t>
            </w:r>
          </w:p>
        </w:tc>
        <w:tc>
          <w:tcPr>
            <w:tcW w:w="3312" w:type="dxa"/>
          </w:tcPr>
          <w:p w14:paraId="1ED69675" w14:textId="77777777" w:rsidR="000476F4" w:rsidRDefault="003B3BB5">
            <w:r>
              <w:rPr>
                <w:sz w:val="18"/>
              </w:rPr>
              <w:t>Head of Adjusting</w:t>
            </w:r>
          </w:p>
        </w:tc>
      </w:tr>
      <w:tr w:rsidR="000476F4" w14:paraId="2BDBF8C4" w14:textId="77777777">
        <w:tc>
          <w:tcPr>
            <w:tcW w:w="3312" w:type="dxa"/>
          </w:tcPr>
          <w:p w14:paraId="00857436" w14:textId="77777777" w:rsidR="000476F4" w:rsidRDefault="003B3BB5">
            <w:r>
              <w:rPr>
                <w:sz w:val="18"/>
              </w:rPr>
              <w:t>Claims Settlement</w:t>
            </w:r>
          </w:p>
        </w:tc>
        <w:tc>
          <w:tcPr>
            <w:tcW w:w="3312" w:type="dxa"/>
          </w:tcPr>
          <w:p w14:paraId="1AC7EEB9" w14:textId="7BCCAD5E" w:rsidR="000476F4" w:rsidRDefault="004969DF">
            <w:r w:rsidRPr="004969DF">
              <w:rPr>
                <w:sz w:val="18"/>
              </w:rPr>
              <w:t>A symptom, not the source: 47 days against a 29-day benchmark, the gap building up earlier; claims under 25,000 are 71% of volume but 19% of value; 9% revised upward after challenge.</w:t>
            </w:r>
          </w:p>
        </w:tc>
        <w:tc>
          <w:tcPr>
            <w:tcW w:w="3312" w:type="dxa"/>
          </w:tcPr>
          <w:p w14:paraId="031DDE0B" w14:textId="77777777" w:rsidR="000476F4" w:rsidRDefault="003B3BB5">
            <w:r>
              <w:rPr>
                <w:sz w:val="18"/>
              </w:rPr>
              <w:t>Head of Claims Operations</w:t>
            </w:r>
          </w:p>
        </w:tc>
      </w:tr>
      <w:tr w:rsidR="000476F4" w14:paraId="638F4064" w14:textId="77777777">
        <w:tc>
          <w:tcPr>
            <w:tcW w:w="3312" w:type="dxa"/>
          </w:tcPr>
          <w:p w14:paraId="30E35235" w14:textId="77777777" w:rsidR="000476F4" w:rsidRDefault="003B3BB5">
            <w:r>
              <w:rPr>
                <w:sz w:val="18"/>
              </w:rPr>
              <w:t>Third-Party Recovery</w:t>
            </w:r>
          </w:p>
        </w:tc>
        <w:tc>
          <w:tcPr>
            <w:tcW w:w="3312" w:type="dxa"/>
          </w:tcPr>
          <w:p w14:paraId="1BD589AB" w14:textId="61D4BCBA" w:rsidR="000476F4" w:rsidRDefault="00F34719">
            <w:r w:rsidRPr="00F34719">
              <w:rPr>
                <w:sz w:val="18"/>
              </w:rPr>
              <w:t>High financial friction: only 22% of 2,900 recoverable claims pursued; an estimated 4.1 million a year not pursued; the team cites no capacity.</w:t>
            </w:r>
          </w:p>
        </w:tc>
        <w:tc>
          <w:tcPr>
            <w:tcW w:w="3312" w:type="dxa"/>
          </w:tcPr>
          <w:p w14:paraId="6A0F2F1C" w14:textId="77777777" w:rsidR="000476F4" w:rsidRDefault="003B3BB5">
            <w:r>
              <w:rPr>
                <w:sz w:val="18"/>
              </w:rPr>
              <w:t>Head of Recoveries</w:t>
            </w:r>
          </w:p>
        </w:tc>
      </w:tr>
      <w:tr w:rsidR="000476F4" w14:paraId="7213C822" w14:textId="77777777">
        <w:tc>
          <w:tcPr>
            <w:tcW w:w="3312" w:type="dxa"/>
          </w:tcPr>
          <w:p w14:paraId="09A61E30" w14:textId="77777777" w:rsidR="000476F4" w:rsidRDefault="003B3BB5">
            <w:r>
              <w:rPr>
                <w:sz w:val="18"/>
              </w:rPr>
              <w:t>Fraud Detection</w:t>
            </w:r>
          </w:p>
        </w:tc>
        <w:tc>
          <w:tcPr>
            <w:tcW w:w="3312" w:type="dxa"/>
          </w:tcPr>
          <w:p w14:paraId="44E0D375" w14:textId="0B0B00D1" w:rsidR="000476F4" w:rsidRDefault="00F34719">
            <w:r w:rsidRPr="00F34719">
              <w:rPr>
                <w:sz w:val="18"/>
              </w:rPr>
              <w:t>Member friction: 3.2% of claims are flagged and 61% of those flags are overturned on review; each flag adds 9 days; 1.8 million confirmed fraud recovered last year.</w:t>
            </w:r>
          </w:p>
        </w:tc>
        <w:tc>
          <w:tcPr>
            <w:tcW w:w="3312" w:type="dxa"/>
          </w:tcPr>
          <w:p w14:paraId="001CF5F1" w14:textId="77777777" w:rsidR="000476F4" w:rsidRDefault="003B3BB5">
            <w:r>
              <w:rPr>
                <w:sz w:val="18"/>
              </w:rPr>
              <w:t>Head of Financial Crime</w:t>
            </w:r>
          </w:p>
        </w:tc>
      </w:tr>
    </w:tbl>
    <w:p w14:paraId="7BF1B949" w14:textId="77777777" w:rsidR="000476F4" w:rsidRDefault="000476F4">
      <w:pPr>
        <w:spacing w:after="80"/>
      </w:pPr>
    </w:p>
    <w:p w14:paraId="035E1431" w14:textId="77777777" w:rsidR="000476F4" w:rsidRDefault="000476F4">
      <w:pPr>
        <w:spacing w:after="160"/>
      </w:pPr>
    </w:p>
    <w:p w14:paraId="4B395A37" w14:textId="77777777" w:rsidR="000476F4" w:rsidRDefault="003B3BB5">
      <w:pPr>
        <w:spacing w:after="20"/>
      </w:pPr>
      <w:r>
        <w:rPr>
          <w:b/>
          <w:color w:val="1B65F5"/>
          <w:sz w:val="17"/>
        </w:rPr>
        <w:t>SECTION 3</w:t>
      </w:r>
    </w:p>
    <w:p w14:paraId="7246D595" w14:textId="77777777" w:rsidR="000476F4" w:rsidRDefault="003B3BB5">
      <w:pPr>
        <w:spacing w:after="120"/>
      </w:pPr>
      <w:r>
        <w:rPr>
          <w:b/>
          <w:color w:val="14213D"/>
          <w:sz w:val="28"/>
        </w:rPr>
        <w:lastRenderedPageBreak/>
        <w:t>Stakeholder lenses</w:t>
      </w:r>
    </w:p>
    <w:p w14:paraId="227C9AA9" w14:textId="77777777" w:rsidR="000476F4" w:rsidRDefault="003B3BB5">
      <w:pPr>
        <w:spacing w:after="20"/>
      </w:pPr>
      <w:r>
        <w:rPr>
          <w:b/>
          <w:color w:val="14213D"/>
        </w:rPr>
        <w:t>3.1 Cost lens:</w:t>
      </w:r>
    </w:p>
    <w:p w14:paraId="2145FDAB" w14:textId="77777777" w:rsidR="000476F4" w:rsidRDefault="003B3BB5">
      <w:pPr>
        <w:spacing w:after="60"/>
      </w:pPr>
      <w:r>
        <w:rPr>
          <w:i/>
          <w:color w:val="6B7285"/>
          <w:sz w:val="18"/>
        </w:rPr>
        <w:t>What this costs the business today, with a number where you have one.</w:t>
      </w:r>
    </w:p>
    <w:tbl>
      <w:tblPr>
        <w:tblStyle w:val="TableGrid"/>
        <w:tblW w:w="0" w:type="auto"/>
        <w:tblLook w:val="04A0" w:firstRow="1" w:lastRow="0" w:firstColumn="1" w:lastColumn="0" w:noHBand="0" w:noVBand="1"/>
      </w:tblPr>
      <w:tblGrid>
        <w:gridCol w:w="9936"/>
      </w:tblGrid>
      <w:tr w:rsidR="000476F4" w14:paraId="397D0FF8" w14:textId="77777777">
        <w:tc>
          <w:tcPr>
            <w:tcW w:w="9936" w:type="dxa"/>
            <w:shd w:val="clear" w:color="auto" w:fill="FBFAF7"/>
          </w:tcPr>
          <w:p w14:paraId="15214C69" w14:textId="77F6E09F" w:rsidR="000476F4" w:rsidRDefault="004969DF">
            <w:r w:rsidRPr="004969DF">
              <w:rPr>
                <w:sz w:val="18"/>
              </w:rPr>
              <w:t>Coverage Validation: cost per delayed claim is not currently measured (staff hours and complaint cost are what I would instrument first); members wait 47 days against a 29-day benchmark, which the Head of Claims Operations carries.</w:t>
            </w:r>
          </w:p>
        </w:tc>
      </w:tr>
    </w:tbl>
    <w:p w14:paraId="0DDA5CF0" w14:textId="77777777" w:rsidR="000476F4" w:rsidRDefault="000476F4">
      <w:pPr>
        <w:spacing w:after="40"/>
      </w:pPr>
    </w:p>
    <w:p w14:paraId="0D2C0D60" w14:textId="77777777" w:rsidR="000476F4" w:rsidRDefault="003B3BB5">
      <w:pPr>
        <w:spacing w:after="20"/>
      </w:pPr>
      <w:r>
        <w:rPr>
          <w:b/>
          <w:color w:val="14213D"/>
        </w:rPr>
        <w:t>3.2 Risk lens:</w:t>
      </w:r>
    </w:p>
    <w:p w14:paraId="6E09D977" w14:textId="77777777" w:rsidR="000476F4" w:rsidRDefault="003B3BB5">
      <w:pPr>
        <w:spacing w:after="60"/>
      </w:pPr>
      <w:r>
        <w:rPr>
          <w:i/>
          <w:color w:val="6B7285"/>
          <w:sz w:val="18"/>
        </w:rPr>
        <w:t>What goes wrong, and to whom.</w:t>
      </w:r>
    </w:p>
    <w:tbl>
      <w:tblPr>
        <w:tblStyle w:val="TableGrid"/>
        <w:tblW w:w="0" w:type="auto"/>
        <w:tblLook w:val="04A0" w:firstRow="1" w:lastRow="0" w:firstColumn="1" w:lastColumn="0" w:noHBand="0" w:noVBand="1"/>
      </w:tblPr>
      <w:tblGrid>
        <w:gridCol w:w="9936"/>
      </w:tblGrid>
      <w:tr w:rsidR="000476F4" w14:paraId="16E5A3DB" w14:textId="77777777">
        <w:tc>
          <w:tcPr>
            <w:tcW w:w="9936" w:type="dxa"/>
            <w:shd w:val="clear" w:color="auto" w:fill="FBFAF7"/>
          </w:tcPr>
          <w:p w14:paraId="0AE88FE9" w14:textId="565953F1" w:rsidR="000476F4" w:rsidRDefault="00CB000B">
            <w:r w:rsidRPr="00CB000B">
              <w:rPr>
                <w:sz w:val="18"/>
              </w:rPr>
              <w:t>Coverage Validation: unverified cover risks wrong eligibility decisions and disputes (9% of settlements are already revised upward after challenge), landing on the Head of Underwriting Services and the Head of Claims Operations.</w:t>
            </w:r>
          </w:p>
        </w:tc>
      </w:tr>
    </w:tbl>
    <w:p w14:paraId="02CBC39B" w14:textId="77777777" w:rsidR="000476F4" w:rsidRDefault="000476F4">
      <w:pPr>
        <w:spacing w:after="40"/>
      </w:pPr>
    </w:p>
    <w:p w14:paraId="5E1BC9E1" w14:textId="77777777" w:rsidR="000476F4" w:rsidRDefault="003B3BB5">
      <w:pPr>
        <w:spacing w:after="20"/>
      </w:pPr>
      <w:r>
        <w:rPr>
          <w:b/>
          <w:color w:val="14213D"/>
        </w:rPr>
        <w:t>3.3 Time-to-value lens:</w:t>
      </w:r>
    </w:p>
    <w:p w14:paraId="6B1C9BE6" w14:textId="77777777" w:rsidR="000476F4" w:rsidRDefault="003B3BB5">
      <w:pPr>
        <w:spacing w:after="60"/>
      </w:pPr>
      <w:r>
        <w:rPr>
          <w:i/>
          <w:color w:val="6B7285"/>
          <w:sz w:val="18"/>
        </w:rPr>
        <w:t>How long before anything improves.</w:t>
      </w:r>
    </w:p>
    <w:tbl>
      <w:tblPr>
        <w:tblStyle w:val="TableGrid"/>
        <w:tblW w:w="0" w:type="auto"/>
        <w:tblLook w:val="04A0" w:firstRow="1" w:lastRow="0" w:firstColumn="1" w:lastColumn="0" w:noHBand="0" w:noVBand="1"/>
      </w:tblPr>
      <w:tblGrid>
        <w:gridCol w:w="9936"/>
      </w:tblGrid>
      <w:tr w:rsidR="000476F4" w14:paraId="5FD7E19C" w14:textId="77777777">
        <w:tc>
          <w:tcPr>
            <w:tcW w:w="9936" w:type="dxa"/>
            <w:shd w:val="clear" w:color="auto" w:fill="FBFAF7"/>
          </w:tcPr>
          <w:p w14:paraId="4395AB42" w14:textId="0A033191" w:rsidR="000476F4" w:rsidRDefault="00CB000B">
            <w:r w:rsidRPr="00CB000B">
              <w:rPr>
                <w:sz w:val="18"/>
              </w:rPr>
              <w:t>Coverage Validation: start timing document requests (not currently measured) and chase the most delayed cases across both policy books now, without waiting for the twice-deferred consolidation; Head of Underwriting Services.</w:t>
            </w:r>
          </w:p>
        </w:tc>
      </w:tr>
    </w:tbl>
    <w:p w14:paraId="77F70751" w14:textId="77777777" w:rsidR="000476F4" w:rsidRDefault="000476F4">
      <w:pPr>
        <w:spacing w:after="40"/>
      </w:pPr>
    </w:p>
    <w:p w14:paraId="5AE0B2F9" w14:textId="77777777" w:rsidR="000476F4" w:rsidRDefault="003B3BB5">
      <w:pPr>
        <w:spacing w:after="20"/>
      </w:pPr>
      <w:r>
        <w:rPr>
          <w:b/>
          <w:color w:val="14213D"/>
        </w:rPr>
        <w:t>3.4 Adoption lens:</w:t>
      </w:r>
    </w:p>
    <w:p w14:paraId="793EE0BB" w14:textId="77777777" w:rsidR="000476F4" w:rsidRDefault="003B3BB5">
      <w:pPr>
        <w:spacing w:after="60"/>
      </w:pPr>
      <w:r>
        <w:rPr>
          <w:i/>
          <w:color w:val="6B7285"/>
          <w:sz w:val="18"/>
        </w:rPr>
        <w:t>Who has to change how they work, and why they might not.</w:t>
      </w:r>
    </w:p>
    <w:tbl>
      <w:tblPr>
        <w:tblStyle w:val="TableGrid"/>
        <w:tblW w:w="0" w:type="auto"/>
        <w:tblLook w:val="04A0" w:firstRow="1" w:lastRow="0" w:firstColumn="1" w:lastColumn="0" w:noHBand="0" w:noVBand="1"/>
      </w:tblPr>
      <w:tblGrid>
        <w:gridCol w:w="9936"/>
      </w:tblGrid>
      <w:tr w:rsidR="000476F4" w14:paraId="4D420265" w14:textId="77777777">
        <w:tc>
          <w:tcPr>
            <w:tcW w:w="9936" w:type="dxa"/>
            <w:shd w:val="clear" w:color="auto" w:fill="FBFAF7"/>
          </w:tcPr>
          <w:p w14:paraId="7C4063CF" w14:textId="063404C3" w:rsidR="000476F4" w:rsidRDefault="00847EB5">
            <w:r w:rsidRPr="00847EB5">
              <w:rPr>
                <w:sz w:val="18"/>
              </w:rPr>
              <w:t>Head of Underwriting Services: staff must request, verify and record policy evidence across two books and may resist extra checks unless they reduce rework (assumption to confirm with the validation teams).</w:t>
            </w:r>
          </w:p>
        </w:tc>
      </w:tr>
    </w:tbl>
    <w:p w14:paraId="7862C2D1" w14:textId="77777777" w:rsidR="000476F4" w:rsidRDefault="000476F4">
      <w:pPr>
        <w:spacing w:after="40"/>
      </w:pPr>
    </w:p>
    <w:p w14:paraId="7FD8BBDD" w14:textId="77777777" w:rsidR="000476F4" w:rsidRDefault="000476F4">
      <w:pPr>
        <w:spacing w:after="160"/>
      </w:pPr>
    </w:p>
    <w:p w14:paraId="38AC1BE0" w14:textId="77777777" w:rsidR="000476F4" w:rsidRDefault="003B3BB5">
      <w:pPr>
        <w:spacing w:after="20"/>
      </w:pPr>
      <w:r>
        <w:rPr>
          <w:b/>
          <w:color w:val="1B65F5"/>
          <w:sz w:val="17"/>
        </w:rPr>
        <w:t>SECTION 4</w:t>
      </w:r>
    </w:p>
    <w:p w14:paraId="3DB62D54" w14:textId="77777777" w:rsidR="000476F4" w:rsidRDefault="003B3BB5">
      <w:pPr>
        <w:spacing w:after="120"/>
      </w:pPr>
      <w:r>
        <w:rPr>
          <w:b/>
          <w:color w:val="14213D"/>
          <w:sz w:val="28"/>
        </w:rPr>
        <w:t>The reframing</w:t>
      </w:r>
    </w:p>
    <w:p w14:paraId="10F5B7E6" w14:textId="77777777" w:rsidR="000476F4" w:rsidRDefault="003B3BB5">
      <w:pPr>
        <w:spacing w:after="20"/>
      </w:pPr>
      <w:r>
        <w:rPr>
          <w:b/>
          <w:color w:val="14213D"/>
        </w:rPr>
        <w:t>4.1 The technology-shaped request, in one line:</w:t>
      </w:r>
    </w:p>
    <w:p w14:paraId="3D9CB7DD" w14:textId="77777777" w:rsidR="000476F4" w:rsidRDefault="003B3BB5">
      <w:pPr>
        <w:spacing w:after="60"/>
      </w:pPr>
      <w:r>
        <w:rPr>
          <w:i/>
          <w:color w:val="6B7285"/>
          <w:sz w:val="18"/>
        </w:rPr>
        <w:t>Strip it to the solution being asked for.</w:t>
      </w:r>
    </w:p>
    <w:tbl>
      <w:tblPr>
        <w:tblStyle w:val="TableGrid"/>
        <w:tblW w:w="0" w:type="auto"/>
        <w:tblLook w:val="04A0" w:firstRow="1" w:lastRow="0" w:firstColumn="1" w:lastColumn="0" w:noHBand="0" w:noVBand="1"/>
      </w:tblPr>
      <w:tblGrid>
        <w:gridCol w:w="9936"/>
      </w:tblGrid>
      <w:tr w:rsidR="000476F4" w14:paraId="69D54321" w14:textId="77777777">
        <w:tc>
          <w:tcPr>
            <w:tcW w:w="9936" w:type="dxa"/>
            <w:shd w:val="clear" w:color="auto" w:fill="FBFAF7"/>
          </w:tcPr>
          <w:p w14:paraId="404673CD" w14:textId="77777777" w:rsidR="000476F4" w:rsidRDefault="003B3BB5">
            <w:r>
              <w:rPr>
                <w:sz w:val="18"/>
              </w:rPr>
              <w:t>Settle every claim below 25,000 without human involvement.</w:t>
            </w:r>
          </w:p>
        </w:tc>
      </w:tr>
    </w:tbl>
    <w:p w14:paraId="357D4A04" w14:textId="77777777" w:rsidR="000476F4" w:rsidRDefault="000476F4">
      <w:pPr>
        <w:spacing w:after="40"/>
      </w:pPr>
    </w:p>
    <w:p w14:paraId="228D4D0D" w14:textId="77777777" w:rsidR="000476F4" w:rsidRDefault="003B3BB5">
      <w:pPr>
        <w:spacing w:after="20"/>
      </w:pPr>
      <w:r>
        <w:rPr>
          <w:b/>
          <w:color w:val="14213D"/>
        </w:rPr>
        <w:t>4.2 The business capability gap it actually points to:</w:t>
      </w:r>
    </w:p>
    <w:p w14:paraId="21D1BE25" w14:textId="77777777" w:rsidR="000476F4" w:rsidRDefault="003B3BB5">
      <w:pPr>
        <w:spacing w:after="60"/>
      </w:pPr>
      <w:r>
        <w:rPr>
          <w:i/>
          <w:color w:val="6B7285"/>
          <w:sz w:val="18"/>
        </w:rPr>
        <w:t>Name the capability from your table. No technology words.</w:t>
      </w:r>
    </w:p>
    <w:tbl>
      <w:tblPr>
        <w:tblStyle w:val="TableGrid"/>
        <w:tblW w:w="0" w:type="auto"/>
        <w:tblLook w:val="04A0" w:firstRow="1" w:lastRow="0" w:firstColumn="1" w:lastColumn="0" w:noHBand="0" w:noVBand="1"/>
      </w:tblPr>
      <w:tblGrid>
        <w:gridCol w:w="9936"/>
      </w:tblGrid>
      <w:tr w:rsidR="000476F4" w14:paraId="539907C3" w14:textId="77777777">
        <w:tc>
          <w:tcPr>
            <w:tcW w:w="9936" w:type="dxa"/>
            <w:shd w:val="clear" w:color="auto" w:fill="FBFAF7"/>
          </w:tcPr>
          <w:p w14:paraId="067863CB" w14:textId="52D11791" w:rsidR="000476F4" w:rsidRDefault="009C5028">
            <w:r w:rsidRPr="009C5028">
              <w:rPr>
                <w:sz w:val="18"/>
              </w:rPr>
              <w:t>Coverage Validation: timely, evidence-backed confirmation of policy coverage before a claim progresses toward settlement.</w:t>
            </w:r>
          </w:p>
        </w:tc>
      </w:tr>
    </w:tbl>
    <w:p w14:paraId="30CB9357" w14:textId="77777777" w:rsidR="000476F4" w:rsidRDefault="000476F4">
      <w:pPr>
        <w:spacing w:after="40"/>
      </w:pPr>
    </w:p>
    <w:p w14:paraId="0CE03FBC" w14:textId="77777777" w:rsidR="000476F4" w:rsidRDefault="003B3BB5">
      <w:pPr>
        <w:spacing w:after="20"/>
      </w:pPr>
      <w:r>
        <w:rPr>
          <w:b/>
          <w:color w:val="14213D"/>
        </w:rPr>
        <w:t>4.3 The evidence in the brief that supports this reframing:</w:t>
      </w:r>
    </w:p>
    <w:p w14:paraId="11F9BB95" w14:textId="77777777" w:rsidR="000476F4" w:rsidRDefault="003B3BB5">
      <w:pPr>
        <w:spacing w:after="60"/>
      </w:pPr>
      <w:r>
        <w:rPr>
          <w:i/>
          <w:color w:val="6B7285"/>
          <w:sz w:val="18"/>
        </w:rPr>
        <w:t>Quote the number or the line you are relying on.</w:t>
      </w:r>
    </w:p>
    <w:tbl>
      <w:tblPr>
        <w:tblStyle w:val="TableGrid"/>
        <w:tblW w:w="0" w:type="auto"/>
        <w:tblLook w:val="04A0" w:firstRow="1" w:lastRow="0" w:firstColumn="1" w:lastColumn="0" w:noHBand="0" w:noVBand="1"/>
      </w:tblPr>
      <w:tblGrid>
        <w:gridCol w:w="9936"/>
      </w:tblGrid>
      <w:tr w:rsidR="000476F4" w14:paraId="2D0CF2D5" w14:textId="77777777">
        <w:tc>
          <w:tcPr>
            <w:tcW w:w="9936" w:type="dxa"/>
            <w:shd w:val="clear" w:color="auto" w:fill="FBFAF7"/>
          </w:tcPr>
          <w:p w14:paraId="349E0405" w14:textId="7855030F" w:rsidR="000476F4" w:rsidRDefault="00847EB5">
            <w:r w:rsidRPr="00847EB5">
              <w:rPr>
                <w:sz w:val="18"/>
              </w:rPr>
              <w:t>Cover validation averages 11 working days, 38% of it missing or unobtainable policy documents. Claims under 25,000 are 71% of volume but only 19% of value, and the 18-day gap to benchmark builds up before settlement, so settling faster would not remove it.</w:t>
            </w:r>
          </w:p>
        </w:tc>
      </w:tr>
    </w:tbl>
    <w:p w14:paraId="64CCA600" w14:textId="77777777" w:rsidR="000476F4" w:rsidRDefault="000476F4">
      <w:pPr>
        <w:spacing w:after="40"/>
      </w:pPr>
    </w:p>
    <w:p w14:paraId="1A0938ED" w14:textId="77777777" w:rsidR="000476F4" w:rsidRDefault="000476F4">
      <w:pPr>
        <w:spacing w:after="160"/>
      </w:pPr>
    </w:p>
    <w:p w14:paraId="6ED9974A" w14:textId="77777777" w:rsidR="000476F4" w:rsidRDefault="003B3BB5">
      <w:pPr>
        <w:spacing w:after="20"/>
      </w:pPr>
      <w:r>
        <w:rPr>
          <w:b/>
          <w:color w:val="1B65F5"/>
          <w:sz w:val="17"/>
        </w:rPr>
        <w:t>SECTION 5</w:t>
      </w:r>
    </w:p>
    <w:p w14:paraId="2C8DDEC1" w14:textId="77777777" w:rsidR="000476F4" w:rsidRDefault="003B3BB5">
      <w:pPr>
        <w:spacing w:after="120"/>
      </w:pPr>
      <w:r>
        <w:rPr>
          <w:b/>
          <w:color w:val="14213D"/>
          <w:sz w:val="28"/>
        </w:rPr>
        <w:t>Validated problem statement</w:t>
      </w:r>
    </w:p>
    <w:p w14:paraId="59A7691B" w14:textId="77777777" w:rsidR="000476F4" w:rsidRDefault="003B3BB5">
      <w:pPr>
        <w:spacing w:after="20"/>
      </w:pPr>
      <w:r>
        <w:rPr>
          <w:b/>
          <w:color w:val="14213D"/>
        </w:rPr>
        <w:t>5.1 Problem statement, one sentence:</w:t>
      </w:r>
    </w:p>
    <w:p w14:paraId="0678063B" w14:textId="77777777" w:rsidR="000476F4" w:rsidRDefault="003B3BB5">
      <w:pPr>
        <w:spacing w:after="60"/>
      </w:pPr>
      <w:r>
        <w:rPr>
          <w:i/>
          <w:color w:val="6B7285"/>
          <w:sz w:val="18"/>
        </w:rPr>
        <w:t>No technology named. A non-technical sponsor must recognise the cost.</w:t>
      </w:r>
    </w:p>
    <w:tbl>
      <w:tblPr>
        <w:tblStyle w:val="TableGrid"/>
        <w:tblW w:w="0" w:type="auto"/>
        <w:tblLook w:val="04A0" w:firstRow="1" w:lastRow="0" w:firstColumn="1" w:lastColumn="0" w:noHBand="0" w:noVBand="1"/>
      </w:tblPr>
      <w:tblGrid>
        <w:gridCol w:w="9936"/>
      </w:tblGrid>
      <w:tr w:rsidR="000476F4" w14:paraId="4F910FA9" w14:textId="77777777">
        <w:tc>
          <w:tcPr>
            <w:tcW w:w="9936" w:type="dxa"/>
            <w:shd w:val="clear" w:color="auto" w:fill="FBFAF7"/>
          </w:tcPr>
          <w:p w14:paraId="4593BB9B" w14:textId="26D45F67" w:rsidR="000476F4" w:rsidRDefault="00847EB5">
            <w:r w:rsidRPr="00847EB5">
              <w:rPr>
                <w:sz w:val="18"/>
              </w:rPr>
              <w:t>Halden Mutual takes an average of 11 working days to validate cover, 38% of that delay being missing or unobtainable policy documents, which holds members at 47 days from notification to settlement against a 29-day benchmark, a delay the Head of Underwriting Services and the Head of Claims Operations carry.</w:t>
            </w:r>
          </w:p>
        </w:tc>
      </w:tr>
    </w:tbl>
    <w:p w14:paraId="0B12A4E2" w14:textId="77777777" w:rsidR="000476F4" w:rsidRDefault="000476F4">
      <w:pPr>
        <w:spacing w:after="40"/>
      </w:pPr>
    </w:p>
    <w:p w14:paraId="654C2773" w14:textId="77777777" w:rsidR="000476F4" w:rsidRDefault="003B3BB5">
      <w:pPr>
        <w:spacing w:after="20"/>
      </w:pPr>
      <w:r>
        <w:rPr>
          <w:b/>
          <w:color w:val="14213D"/>
        </w:rPr>
        <w:t>5.2 The specific cost, risk or friction this names:</w:t>
      </w:r>
    </w:p>
    <w:p w14:paraId="35924D35" w14:textId="77777777" w:rsidR="000476F4" w:rsidRDefault="003B3BB5">
      <w:pPr>
        <w:spacing w:after="60"/>
      </w:pPr>
      <w:r>
        <w:rPr>
          <w:i/>
          <w:color w:val="6B7285"/>
          <w:sz w:val="18"/>
        </w:rPr>
        <w:t>Must carry a number or a named consequence.</w:t>
      </w:r>
    </w:p>
    <w:tbl>
      <w:tblPr>
        <w:tblStyle w:val="TableGrid"/>
        <w:tblW w:w="0" w:type="auto"/>
        <w:tblLook w:val="04A0" w:firstRow="1" w:lastRow="0" w:firstColumn="1" w:lastColumn="0" w:noHBand="0" w:noVBand="1"/>
      </w:tblPr>
      <w:tblGrid>
        <w:gridCol w:w="9936"/>
      </w:tblGrid>
      <w:tr w:rsidR="000476F4" w14:paraId="09756C90" w14:textId="77777777">
        <w:tc>
          <w:tcPr>
            <w:tcW w:w="9936" w:type="dxa"/>
            <w:shd w:val="clear" w:color="auto" w:fill="FBFAF7"/>
          </w:tcPr>
          <w:p w14:paraId="48A8A958" w14:textId="6DEE83B1" w:rsidR="000476F4" w:rsidRDefault="00D22B54">
            <w:r w:rsidRPr="00D22B54">
              <w:rPr>
                <w:sz w:val="18"/>
              </w:rPr>
              <w:t>11 working days to validate cover, 38% of it document-related; members wait 47 days to settlement against a 29-day benchmark, 18 days longer.</w:t>
            </w:r>
          </w:p>
        </w:tc>
      </w:tr>
    </w:tbl>
    <w:p w14:paraId="78D290BF" w14:textId="77777777" w:rsidR="000476F4" w:rsidRDefault="000476F4">
      <w:pPr>
        <w:spacing w:after="40"/>
      </w:pPr>
    </w:p>
    <w:p w14:paraId="4107F7AE" w14:textId="77777777" w:rsidR="000476F4" w:rsidRDefault="003B3BB5">
      <w:pPr>
        <w:spacing w:after="20"/>
      </w:pPr>
      <w:r>
        <w:rPr>
          <w:b/>
          <w:color w:val="14213D"/>
        </w:rPr>
        <w:t>5.3 The non-technical role who would recognise it:</w:t>
      </w:r>
    </w:p>
    <w:p w14:paraId="69B5B7A2" w14:textId="77777777" w:rsidR="000476F4" w:rsidRDefault="003B3BB5">
      <w:pPr>
        <w:spacing w:after="60"/>
      </w:pPr>
      <w:r>
        <w:rPr>
          <w:i/>
          <w:color w:val="6B7285"/>
          <w:sz w:val="18"/>
        </w:rPr>
        <w:t>e.g. Finance Controller</w:t>
      </w:r>
    </w:p>
    <w:tbl>
      <w:tblPr>
        <w:tblStyle w:val="TableGrid"/>
        <w:tblW w:w="0" w:type="auto"/>
        <w:tblLook w:val="04A0" w:firstRow="1" w:lastRow="0" w:firstColumn="1" w:lastColumn="0" w:noHBand="0" w:noVBand="1"/>
      </w:tblPr>
      <w:tblGrid>
        <w:gridCol w:w="9936"/>
      </w:tblGrid>
      <w:tr w:rsidR="000476F4" w14:paraId="2E702157" w14:textId="77777777">
        <w:tc>
          <w:tcPr>
            <w:tcW w:w="9936" w:type="dxa"/>
            <w:shd w:val="clear" w:color="auto" w:fill="FBFAF7"/>
          </w:tcPr>
          <w:p w14:paraId="7B52B17E" w14:textId="030F7771" w:rsidR="000476F4" w:rsidRDefault="00D22B54">
            <w:r w:rsidRPr="00D22B54">
              <w:rPr>
                <w:sz w:val="18"/>
              </w:rPr>
              <w:t>Head of Underwriting Services (owns cover validation); Head of Claims Operations (owns the member settlement outcome).</w:t>
            </w:r>
          </w:p>
        </w:tc>
      </w:tr>
    </w:tbl>
    <w:p w14:paraId="1EBBD61B" w14:textId="77777777" w:rsidR="000476F4" w:rsidRDefault="000476F4">
      <w:pPr>
        <w:spacing w:after="40"/>
      </w:pPr>
    </w:p>
    <w:p w14:paraId="271198EF" w14:textId="77777777" w:rsidR="000476F4" w:rsidRDefault="000476F4">
      <w:pPr>
        <w:spacing w:after="160"/>
      </w:pPr>
    </w:p>
    <w:p w14:paraId="6924DB78" w14:textId="77777777" w:rsidR="000476F4" w:rsidRDefault="003B3BB5">
      <w:r>
        <w:br w:type="page"/>
      </w:r>
    </w:p>
    <w:p w14:paraId="460471D8" w14:textId="77777777" w:rsidR="000476F4" w:rsidRDefault="003B3BB5">
      <w:pPr>
        <w:spacing w:after="60"/>
      </w:pPr>
      <w:r>
        <w:rPr>
          <w:b/>
          <w:color w:val="E5533D"/>
          <w:sz w:val="24"/>
        </w:rPr>
        <w:lastRenderedPageBreak/>
        <w:t>TECHNOLOGY FIREWALL</w:t>
      </w:r>
    </w:p>
    <w:p w14:paraId="339050D9" w14:textId="77777777" w:rsidR="000476F4" w:rsidRDefault="003B3BB5">
      <w:r>
        <w:rPr>
          <w:color w:val="14213D"/>
        </w:rPr>
        <w:t>Everything above this line is business only. From here on, naming technology is required, not penalised. Do not go back and edit sections 1 to 5 after this point.</w:t>
      </w:r>
    </w:p>
    <w:p w14:paraId="427A6574" w14:textId="77777777" w:rsidR="000476F4" w:rsidRDefault="003B3BB5">
      <w:r>
        <w:rPr>
          <w:color w:val="E5533D"/>
        </w:rPr>
        <w:t>______________________________________________________________________________</w:t>
      </w:r>
    </w:p>
    <w:p w14:paraId="6C92FE10" w14:textId="77777777" w:rsidR="000476F4" w:rsidRDefault="003B3BB5">
      <w:pPr>
        <w:spacing w:after="20"/>
      </w:pPr>
      <w:r>
        <w:rPr>
          <w:b/>
          <w:color w:val="1B65F5"/>
          <w:sz w:val="17"/>
        </w:rPr>
        <w:t>SECTION 6</w:t>
      </w:r>
    </w:p>
    <w:p w14:paraId="5E298D5E" w14:textId="77777777" w:rsidR="000476F4" w:rsidRDefault="003B3BB5">
      <w:pPr>
        <w:spacing w:after="120"/>
      </w:pPr>
      <w:r>
        <w:rPr>
          <w:b/>
          <w:color w:val="14213D"/>
          <w:sz w:val="28"/>
        </w:rPr>
        <w:t>Edge judgment: the trade-off</w:t>
      </w:r>
    </w:p>
    <w:p w14:paraId="7B213C2A" w14:textId="77777777" w:rsidR="000476F4" w:rsidRDefault="003B3BB5">
      <w:pPr>
        <w:spacing w:after="20"/>
      </w:pPr>
      <w:r>
        <w:rPr>
          <w:b/>
          <w:color w:val="14213D"/>
        </w:rPr>
        <w:t>6.1 We chose:</w:t>
      </w:r>
    </w:p>
    <w:p w14:paraId="450E2279" w14:textId="77777777" w:rsidR="000476F4" w:rsidRDefault="003B3BB5">
      <w:pPr>
        <w:spacing w:after="60"/>
      </w:pPr>
      <w:r>
        <w:rPr>
          <w:i/>
          <w:color w:val="6B7285"/>
          <w:sz w:val="18"/>
        </w:rPr>
        <w:t>Name the option you picked.</w:t>
      </w:r>
    </w:p>
    <w:tbl>
      <w:tblPr>
        <w:tblStyle w:val="TableGrid"/>
        <w:tblW w:w="0" w:type="auto"/>
        <w:tblLook w:val="04A0" w:firstRow="1" w:lastRow="0" w:firstColumn="1" w:lastColumn="0" w:noHBand="0" w:noVBand="1"/>
      </w:tblPr>
      <w:tblGrid>
        <w:gridCol w:w="9936"/>
      </w:tblGrid>
      <w:tr w:rsidR="000476F4" w14:paraId="16B5A432" w14:textId="77777777">
        <w:tc>
          <w:tcPr>
            <w:tcW w:w="9936" w:type="dxa"/>
            <w:shd w:val="clear" w:color="auto" w:fill="FBFAF7"/>
          </w:tcPr>
          <w:p w14:paraId="4A4D68AD" w14:textId="77777777" w:rsidR="000476F4" w:rsidRDefault="003B3BB5">
            <w:r>
              <w:rPr>
                <w:sz w:val="18"/>
              </w:rPr>
              <w:t>A cross-system, human-approved cover-validation workflow that retrieves policy evidence from both policy systems and records the basis for each decision.</w:t>
            </w:r>
          </w:p>
        </w:tc>
      </w:tr>
    </w:tbl>
    <w:p w14:paraId="5168C27E" w14:textId="77777777" w:rsidR="000476F4" w:rsidRDefault="000476F4">
      <w:pPr>
        <w:spacing w:after="40"/>
      </w:pPr>
    </w:p>
    <w:p w14:paraId="3AFA3BAF" w14:textId="77777777" w:rsidR="000476F4" w:rsidRDefault="003B3BB5">
      <w:pPr>
        <w:spacing w:after="20"/>
      </w:pPr>
      <w:r>
        <w:rPr>
          <w:b/>
          <w:color w:val="14213D"/>
        </w:rPr>
        <w:t>6.2 Over:</w:t>
      </w:r>
    </w:p>
    <w:p w14:paraId="2CD06F3C" w14:textId="77777777" w:rsidR="000476F4" w:rsidRDefault="003B3BB5">
      <w:pPr>
        <w:spacing w:after="60"/>
      </w:pPr>
      <w:r>
        <w:rPr>
          <w:i/>
          <w:color w:val="6B7285"/>
          <w:sz w:val="18"/>
        </w:rPr>
        <w:t>Name the option you rejected.</w:t>
      </w:r>
    </w:p>
    <w:tbl>
      <w:tblPr>
        <w:tblStyle w:val="TableGrid"/>
        <w:tblW w:w="0" w:type="auto"/>
        <w:tblLook w:val="04A0" w:firstRow="1" w:lastRow="0" w:firstColumn="1" w:lastColumn="0" w:noHBand="0" w:noVBand="1"/>
      </w:tblPr>
      <w:tblGrid>
        <w:gridCol w:w="9936"/>
      </w:tblGrid>
      <w:tr w:rsidR="000476F4" w14:paraId="0E7F5018" w14:textId="77777777">
        <w:tc>
          <w:tcPr>
            <w:tcW w:w="9936" w:type="dxa"/>
            <w:shd w:val="clear" w:color="auto" w:fill="FBFAF7"/>
          </w:tcPr>
          <w:p w14:paraId="53480F49" w14:textId="77777777" w:rsidR="000476F4" w:rsidRDefault="003B3BB5">
            <w:r>
              <w:rPr>
                <w:sz w:val="18"/>
              </w:rPr>
              <w:t>An AI-led, straight-through auto-settlement engine for claims under 25,000.</w:t>
            </w:r>
          </w:p>
        </w:tc>
      </w:tr>
    </w:tbl>
    <w:p w14:paraId="453063C3" w14:textId="77777777" w:rsidR="000476F4" w:rsidRDefault="000476F4">
      <w:pPr>
        <w:spacing w:after="40"/>
      </w:pPr>
    </w:p>
    <w:p w14:paraId="6C700EC6" w14:textId="77777777" w:rsidR="000476F4" w:rsidRDefault="003B3BB5">
      <w:pPr>
        <w:spacing w:after="20"/>
      </w:pPr>
      <w:r>
        <w:rPr>
          <w:b/>
          <w:color w:val="14213D"/>
        </w:rPr>
        <w:t>6.3 The requirement that decided it:</w:t>
      </w:r>
    </w:p>
    <w:p w14:paraId="21F3A117" w14:textId="77777777" w:rsidR="000476F4" w:rsidRDefault="003B3BB5">
      <w:pPr>
        <w:spacing w:after="60"/>
      </w:pPr>
      <w:r>
        <w:rPr>
          <w:i/>
          <w:color w:val="6B7285"/>
          <w:sz w:val="18"/>
        </w:rPr>
        <w:t>Point at a specific requirement, not a preference.</w:t>
      </w:r>
    </w:p>
    <w:tbl>
      <w:tblPr>
        <w:tblStyle w:val="TableGrid"/>
        <w:tblW w:w="0" w:type="auto"/>
        <w:tblLook w:val="04A0" w:firstRow="1" w:lastRow="0" w:firstColumn="1" w:lastColumn="0" w:noHBand="0" w:noVBand="1"/>
      </w:tblPr>
      <w:tblGrid>
        <w:gridCol w:w="9936"/>
      </w:tblGrid>
      <w:tr w:rsidR="000476F4" w14:paraId="7EA26986" w14:textId="77777777">
        <w:tc>
          <w:tcPr>
            <w:tcW w:w="9936" w:type="dxa"/>
            <w:shd w:val="clear" w:color="auto" w:fill="FBFAF7"/>
          </w:tcPr>
          <w:p w14:paraId="1A77BD35" w14:textId="765D2B22" w:rsidR="000476F4" w:rsidRDefault="00480C2A">
            <w:r w:rsidRPr="00480C2A">
              <w:rPr>
                <w:sz w:val="18"/>
              </w:rPr>
              <w:t>Cover must be confirmed before any payment, so auto-settling first would pay for unverified cover, and the regulator requires member-affecting automated decisions to be explainable and appealable.</w:t>
            </w:r>
          </w:p>
        </w:tc>
      </w:tr>
    </w:tbl>
    <w:p w14:paraId="37B740A0" w14:textId="77777777" w:rsidR="000476F4" w:rsidRDefault="000476F4">
      <w:pPr>
        <w:spacing w:after="40"/>
      </w:pPr>
    </w:p>
    <w:p w14:paraId="0C371936" w14:textId="77777777" w:rsidR="000476F4" w:rsidRDefault="003B3BB5">
      <w:pPr>
        <w:spacing w:after="20"/>
      </w:pPr>
      <w:r>
        <w:rPr>
          <w:b/>
          <w:color w:val="14213D"/>
        </w:rPr>
        <w:t>6.4 What we gave up by choosing this:</w:t>
      </w:r>
    </w:p>
    <w:p w14:paraId="38CEF35A" w14:textId="77777777" w:rsidR="000476F4" w:rsidRDefault="003B3BB5">
      <w:pPr>
        <w:spacing w:after="60"/>
      </w:pPr>
      <w:r>
        <w:rPr>
          <w:i/>
          <w:color w:val="6B7285"/>
          <w:sz w:val="18"/>
        </w:rPr>
        <w:t>Name a real loss. 'Nothing' scores zero.</w:t>
      </w:r>
    </w:p>
    <w:tbl>
      <w:tblPr>
        <w:tblStyle w:val="TableGrid"/>
        <w:tblW w:w="0" w:type="auto"/>
        <w:tblLook w:val="04A0" w:firstRow="1" w:lastRow="0" w:firstColumn="1" w:lastColumn="0" w:noHBand="0" w:noVBand="1"/>
      </w:tblPr>
      <w:tblGrid>
        <w:gridCol w:w="9936"/>
      </w:tblGrid>
      <w:tr w:rsidR="000476F4" w14:paraId="0A4C859F" w14:textId="77777777">
        <w:tc>
          <w:tcPr>
            <w:tcW w:w="9936" w:type="dxa"/>
            <w:shd w:val="clear" w:color="auto" w:fill="FBFAF7"/>
          </w:tcPr>
          <w:p w14:paraId="765A8927" w14:textId="619DFA8B" w:rsidR="000476F4" w:rsidRDefault="00F73DE4">
            <w:r w:rsidRPr="00F73DE4">
              <w:rPr>
                <w:sz w:val="18"/>
              </w:rPr>
              <w:t>We give up the speed and staffing savings of paying the 71% of claims under 25,000 (about 10,500 a year, derived) without human review: those members keep waiting weeks, review effort stays, and the COO loses the board-ready headline.</w:t>
            </w:r>
          </w:p>
        </w:tc>
      </w:tr>
    </w:tbl>
    <w:p w14:paraId="34AEE055" w14:textId="77777777" w:rsidR="000476F4" w:rsidRDefault="000476F4">
      <w:pPr>
        <w:spacing w:after="40"/>
      </w:pPr>
    </w:p>
    <w:p w14:paraId="33E0DFDE" w14:textId="77777777" w:rsidR="000476F4" w:rsidRDefault="003B3BB5">
      <w:pPr>
        <w:spacing w:after="20"/>
      </w:pPr>
      <w:r>
        <w:rPr>
          <w:b/>
          <w:color w:val="14213D"/>
        </w:rPr>
        <w:t>6.5 Who would disagree, and on what grounds:</w:t>
      </w:r>
    </w:p>
    <w:p w14:paraId="54F909F6" w14:textId="77777777" w:rsidR="000476F4" w:rsidRDefault="003B3BB5">
      <w:pPr>
        <w:spacing w:after="60"/>
      </w:pPr>
      <w:r>
        <w:rPr>
          <w:i/>
          <w:color w:val="6B7285"/>
          <w:sz w:val="18"/>
        </w:rPr>
        <w:t>Name the role and their strongest objection.</w:t>
      </w:r>
    </w:p>
    <w:tbl>
      <w:tblPr>
        <w:tblStyle w:val="TableGrid"/>
        <w:tblW w:w="0" w:type="auto"/>
        <w:tblLook w:val="04A0" w:firstRow="1" w:lastRow="0" w:firstColumn="1" w:lastColumn="0" w:noHBand="0" w:noVBand="1"/>
      </w:tblPr>
      <w:tblGrid>
        <w:gridCol w:w="9936"/>
      </w:tblGrid>
      <w:tr w:rsidR="000476F4" w14:paraId="260E3F5A" w14:textId="77777777">
        <w:tc>
          <w:tcPr>
            <w:tcW w:w="9936" w:type="dxa"/>
            <w:shd w:val="clear" w:color="auto" w:fill="FBFAF7"/>
          </w:tcPr>
          <w:p w14:paraId="70FFF2B0" w14:textId="224B6022" w:rsidR="000476F4" w:rsidRDefault="00054C1B">
            <w:r w:rsidRPr="00054C1B">
              <w:rPr>
                <w:sz w:val="18"/>
              </w:rPr>
              <w:t>The COO, who could object that members still wait weeks for the 71% of claims under 25,000 while insurtechs already settle such claims in under an hour.</w:t>
            </w:r>
          </w:p>
        </w:tc>
      </w:tr>
    </w:tbl>
    <w:p w14:paraId="0BA12B74" w14:textId="77777777" w:rsidR="000476F4" w:rsidRDefault="000476F4">
      <w:pPr>
        <w:spacing w:after="40"/>
      </w:pPr>
    </w:p>
    <w:p w14:paraId="410CA6C1" w14:textId="77777777" w:rsidR="000476F4" w:rsidRDefault="000476F4">
      <w:pPr>
        <w:spacing w:after="160"/>
      </w:pPr>
    </w:p>
    <w:p w14:paraId="1D661AFF" w14:textId="77777777" w:rsidR="000476F4" w:rsidRDefault="003B3BB5">
      <w:pPr>
        <w:spacing w:after="20"/>
      </w:pPr>
      <w:r>
        <w:rPr>
          <w:b/>
          <w:color w:val="1B65F5"/>
          <w:sz w:val="17"/>
        </w:rPr>
        <w:t>SECTION 7</w:t>
      </w:r>
    </w:p>
    <w:p w14:paraId="71267D27" w14:textId="77777777" w:rsidR="000476F4" w:rsidRDefault="003B3BB5">
      <w:pPr>
        <w:spacing w:after="120"/>
      </w:pPr>
      <w:r>
        <w:rPr>
          <w:b/>
          <w:color w:val="14213D"/>
          <w:sz w:val="28"/>
        </w:rPr>
        <w:t>Trust architecture: testable guarantees</w:t>
      </w:r>
    </w:p>
    <w:p w14:paraId="6C9C3D2C" w14:textId="77777777" w:rsidR="000476F4" w:rsidRDefault="003B3BB5">
      <w:pPr>
        <w:spacing w:after="20"/>
      </w:pPr>
      <w:r>
        <w:rPr>
          <w:b/>
          <w:color w:val="14213D"/>
        </w:rPr>
        <w:t>7.1 Guarantee A metric:</w:t>
      </w:r>
    </w:p>
    <w:p w14:paraId="40E3B280" w14:textId="77777777" w:rsidR="000476F4" w:rsidRDefault="003B3BB5">
      <w:pPr>
        <w:spacing w:after="60"/>
      </w:pPr>
      <w:r>
        <w:rPr>
          <w:i/>
          <w:color w:val="6B7285"/>
          <w:sz w:val="18"/>
        </w:rPr>
        <w:t>What is measured.</w:t>
      </w:r>
    </w:p>
    <w:tbl>
      <w:tblPr>
        <w:tblStyle w:val="TableGrid"/>
        <w:tblW w:w="0" w:type="auto"/>
        <w:tblLook w:val="04A0" w:firstRow="1" w:lastRow="0" w:firstColumn="1" w:lastColumn="0" w:noHBand="0" w:noVBand="1"/>
      </w:tblPr>
      <w:tblGrid>
        <w:gridCol w:w="9936"/>
      </w:tblGrid>
      <w:tr w:rsidR="000476F4" w14:paraId="133178DD" w14:textId="77777777">
        <w:tc>
          <w:tcPr>
            <w:tcW w:w="9936" w:type="dxa"/>
            <w:shd w:val="clear" w:color="auto" w:fill="FBFAF7"/>
          </w:tcPr>
          <w:p w14:paraId="7A43B987" w14:textId="77777777" w:rsidR="000476F4" w:rsidRDefault="003B3BB5">
            <w:r>
              <w:rPr>
                <w:sz w:val="18"/>
              </w:rPr>
              <w:t>Elapsed working days from policy-document request to verified receipt, across both policy systems (new baseline required).</w:t>
            </w:r>
          </w:p>
        </w:tc>
      </w:tr>
    </w:tbl>
    <w:p w14:paraId="6BF683D5" w14:textId="77777777" w:rsidR="000476F4" w:rsidRDefault="000476F4">
      <w:pPr>
        <w:spacing w:after="40"/>
      </w:pPr>
    </w:p>
    <w:p w14:paraId="6B2C8281" w14:textId="77777777" w:rsidR="000476F4" w:rsidRDefault="003B3BB5">
      <w:pPr>
        <w:spacing w:after="20"/>
      </w:pPr>
      <w:r>
        <w:rPr>
          <w:b/>
          <w:color w:val="14213D"/>
        </w:rPr>
        <w:t>7.2 Guarantee A threshold:</w:t>
      </w:r>
    </w:p>
    <w:p w14:paraId="25978015" w14:textId="77777777" w:rsidR="000476F4" w:rsidRDefault="003B3BB5">
      <w:pPr>
        <w:spacing w:after="60"/>
      </w:pPr>
      <w:r>
        <w:rPr>
          <w:i/>
          <w:color w:val="6B7285"/>
          <w:sz w:val="18"/>
        </w:rPr>
        <w:t>A number with a unit. '99.5% of jobs' not 'high reliability'.</w:t>
      </w:r>
    </w:p>
    <w:tbl>
      <w:tblPr>
        <w:tblStyle w:val="TableGrid"/>
        <w:tblW w:w="0" w:type="auto"/>
        <w:tblLook w:val="04A0" w:firstRow="1" w:lastRow="0" w:firstColumn="1" w:lastColumn="0" w:noHBand="0" w:noVBand="1"/>
      </w:tblPr>
      <w:tblGrid>
        <w:gridCol w:w="9936"/>
      </w:tblGrid>
      <w:tr w:rsidR="000476F4" w14:paraId="2A2293F6" w14:textId="77777777">
        <w:tc>
          <w:tcPr>
            <w:tcW w:w="9936" w:type="dxa"/>
            <w:shd w:val="clear" w:color="auto" w:fill="FBFAF7"/>
          </w:tcPr>
          <w:p w14:paraId="40196ACA" w14:textId="0D4AA75C" w:rsidR="000476F4" w:rsidRDefault="00020309">
            <w:r w:rsidRPr="00020309">
              <w:rPr>
                <w:sz w:val="18"/>
              </w:rPr>
              <w:t>At least 95% of document requests fulfilled within 2 working days by 30 June 2027, after a baseline taken over the first 60 days.</w:t>
            </w:r>
          </w:p>
        </w:tc>
      </w:tr>
    </w:tbl>
    <w:p w14:paraId="0B931046" w14:textId="77777777" w:rsidR="000476F4" w:rsidRDefault="000476F4">
      <w:pPr>
        <w:spacing w:after="40"/>
      </w:pPr>
    </w:p>
    <w:p w14:paraId="23E400FB" w14:textId="77777777" w:rsidR="000476F4" w:rsidRDefault="003B3BB5">
      <w:pPr>
        <w:spacing w:after="20"/>
      </w:pPr>
      <w:r>
        <w:rPr>
          <w:b/>
          <w:color w:val="14213D"/>
        </w:rPr>
        <w:t>7.3 Guarantee A how measured:</w:t>
      </w:r>
    </w:p>
    <w:p w14:paraId="7D0675D2" w14:textId="77777777" w:rsidR="000476F4" w:rsidRDefault="003B3BB5">
      <w:pPr>
        <w:spacing w:after="60"/>
      </w:pPr>
      <w:r>
        <w:rPr>
          <w:i/>
          <w:color w:val="6B7285"/>
          <w:sz w:val="18"/>
        </w:rPr>
        <w:t>The system or report that produces the number.</w:t>
      </w:r>
    </w:p>
    <w:tbl>
      <w:tblPr>
        <w:tblStyle w:val="TableGrid"/>
        <w:tblW w:w="0" w:type="auto"/>
        <w:tblLook w:val="04A0" w:firstRow="1" w:lastRow="0" w:firstColumn="1" w:lastColumn="0" w:noHBand="0" w:noVBand="1"/>
      </w:tblPr>
      <w:tblGrid>
        <w:gridCol w:w="9936"/>
      </w:tblGrid>
      <w:tr w:rsidR="000476F4" w14:paraId="4CDAD07C" w14:textId="77777777">
        <w:tc>
          <w:tcPr>
            <w:tcW w:w="9936" w:type="dxa"/>
            <w:shd w:val="clear" w:color="auto" w:fill="FBFAF7"/>
          </w:tcPr>
          <w:p w14:paraId="7BE2F4EB" w14:textId="5C9F00F8" w:rsidR="000476F4" w:rsidRDefault="00F73DE4">
            <w:r w:rsidRPr="00F73DE4">
              <w:rPr>
                <w:sz w:val="18"/>
              </w:rPr>
              <w:lastRenderedPageBreak/>
              <w:t>A new timestamped log of document requests and receipts across both policy books (not measured today), reconciled monthly by the Head of Underwriting Services and reviewed by the Head of Claims Operations.</w:t>
            </w:r>
          </w:p>
        </w:tc>
      </w:tr>
    </w:tbl>
    <w:p w14:paraId="017CFB4B" w14:textId="77777777" w:rsidR="000476F4" w:rsidRDefault="000476F4">
      <w:pPr>
        <w:spacing w:after="40"/>
      </w:pPr>
    </w:p>
    <w:p w14:paraId="32C12258" w14:textId="77777777" w:rsidR="000476F4" w:rsidRDefault="003B3BB5">
      <w:pPr>
        <w:spacing w:after="20"/>
      </w:pPr>
      <w:r>
        <w:rPr>
          <w:b/>
          <w:color w:val="14213D"/>
        </w:rPr>
        <w:t>7.4 Guarantee A what happens on breach:</w:t>
      </w:r>
    </w:p>
    <w:p w14:paraId="364F695B" w14:textId="77777777" w:rsidR="000476F4" w:rsidRDefault="003B3BB5">
      <w:pPr>
        <w:spacing w:after="60"/>
      </w:pPr>
      <w:r>
        <w:rPr>
          <w:i/>
          <w:color w:val="6B7285"/>
          <w:sz w:val="18"/>
        </w:rPr>
        <w:t>The action and who takes it.</w:t>
      </w:r>
    </w:p>
    <w:tbl>
      <w:tblPr>
        <w:tblStyle w:val="TableGrid"/>
        <w:tblW w:w="0" w:type="auto"/>
        <w:tblLook w:val="04A0" w:firstRow="1" w:lastRow="0" w:firstColumn="1" w:lastColumn="0" w:noHBand="0" w:noVBand="1"/>
      </w:tblPr>
      <w:tblGrid>
        <w:gridCol w:w="9936"/>
      </w:tblGrid>
      <w:tr w:rsidR="000476F4" w14:paraId="7B5E956B" w14:textId="77777777">
        <w:tc>
          <w:tcPr>
            <w:tcW w:w="9936" w:type="dxa"/>
            <w:shd w:val="clear" w:color="auto" w:fill="FBFAF7"/>
          </w:tcPr>
          <w:p w14:paraId="1F898FCE" w14:textId="311AF2C7" w:rsidR="000476F4" w:rsidRDefault="003854D4">
            <w:r w:rsidRPr="003854D4">
              <w:rPr>
                <w:sz w:val="18"/>
              </w:rPr>
              <w:t>If below 95%, the Head of Underwriting Services reviews by policy book, assigns manual retrieval for overdue cases and escalates unresolved access issues to the Head of Claims Operations, who refers any procedure change to the Claims Governance Committee.</w:t>
            </w:r>
          </w:p>
        </w:tc>
      </w:tr>
    </w:tbl>
    <w:p w14:paraId="769723ED" w14:textId="77777777" w:rsidR="000476F4" w:rsidRDefault="000476F4">
      <w:pPr>
        <w:spacing w:after="40"/>
      </w:pPr>
    </w:p>
    <w:p w14:paraId="1F4A3742" w14:textId="77777777" w:rsidR="000476F4" w:rsidRDefault="003B3BB5">
      <w:pPr>
        <w:spacing w:after="20"/>
      </w:pPr>
      <w:r>
        <w:rPr>
          <w:b/>
          <w:color w:val="14213D"/>
        </w:rPr>
        <w:t>7.5 Guarantee B metric:</w:t>
      </w:r>
    </w:p>
    <w:p w14:paraId="7D3691B3" w14:textId="77777777" w:rsidR="000476F4" w:rsidRDefault="003B3BB5">
      <w:pPr>
        <w:spacing w:after="60"/>
      </w:pPr>
      <w:r>
        <w:rPr>
          <w:i/>
          <w:color w:val="6B7285"/>
          <w:sz w:val="18"/>
        </w:rPr>
        <w:t>What is measured.</w:t>
      </w:r>
    </w:p>
    <w:tbl>
      <w:tblPr>
        <w:tblStyle w:val="TableGrid"/>
        <w:tblW w:w="0" w:type="auto"/>
        <w:tblLook w:val="04A0" w:firstRow="1" w:lastRow="0" w:firstColumn="1" w:lastColumn="0" w:noHBand="0" w:noVBand="1"/>
      </w:tblPr>
      <w:tblGrid>
        <w:gridCol w:w="9936"/>
      </w:tblGrid>
      <w:tr w:rsidR="000476F4" w14:paraId="29990B0C" w14:textId="77777777">
        <w:tc>
          <w:tcPr>
            <w:tcW w:w="9936" w:type="dxa"/>
            <w:shd w:val="clear" w:color="auto" w:fill="FBFAF7"/>
          </w:tcPr>
          <w:p w14:paraId="31807F1B" w14:textId="191DC0D9" w:rsidR="000476F4" w:rsidRDefault="00A560F6">
            <w:r w:rsidRPr="00A560F6">
              <w:rPr>
                <w:sz w:val="18"/>
              </w:rPr>
              <w:t>Share of member-affecting cover decisions released with a recorded evidence trail, a reason chosen from a standard reason list and written in plain language, and an appeal route stated with its deadline.</w:t>
            </w:r>
          </w:p>
        </w:tc>
      </w:tr>
    </w:tbl>
    <w:p w14:paraId="6F4995D6" w14:textId="77777777" w:rsidR="000476F4" w:rsidRDefault="000476F4">
      <w:pPr>
        <w:spacing w:after="40"/>
      </w:pPr>
    </w:p>
    <w:p w14:paraId="750621B5" w14:textId="77777777" w:rsidR="000476F4" w:rsidRDefault="003B3BB5">
      <w:pPr>
        <w:spacing w:after="20"/>
      </w:pPr>
      <w:r>
        <w:rPr>
          <w:b/>
          <w:color w:val="14213D"/>
        </w:rPr>
        <w:t>7.6 Guarantee B threshold:</w:t>
      </w:r>
    </w:p>
    <w:p w14:paraId="07481D69" w14:textId="77777777" w:rsidR="000476F4" w:rsidRDefault="003B3BB5">
      <w:pPr>
        <w:spacing w:after="60"/>
      </w:pPr>
      <w:r>
        <w:rPr>
          <w:i/>
          <w:color w:val="6B7285"/>
          <w:sz w:val="18"/>
        </w:rPr>
        <w:t>A number with a unit.</w:t>
      </w:r>
    </w:p>
    <w:tbl>
      <w:tblPr>
        <w:tblStyle w:val="TableGrid"/>
        <w:tblW w:w="0" w:type="auto"/>
        <w:tblLook w:val="04A0" w:firstRow="1" w:lastRow="0" w:firstColumn="1" w:lastColumn="0" w:noHBand="0" w:noVBand="1"/>
      </w:tblPr>
      <w:tblGrid>
        <w:gridCol w:w="9936"/>
      </w:tblGrid>
      <w:tr w:rsidR="000476F4" w14:paraId="44488574" w14:textId="77777777">
        <w:tc>
          <w:tcPr>
            <w:tcW w:w="9936" w:type="dxa"/>
            <w:shd w:val="clear" w:color="auto" w:fill="FBFAF7"/>
          </w:tcPr>
          <w:p w14:paraId="749CF3F9" w14:textId="735D0586" w:rsidR="000476F4" w:rsidRDefault="003A2573">
            <w:r w:rsidRPr="003A2573">
              <w:rPr>
                <w:sz w:val="18"/>
              </w:rPr>
              <w:t>100% of such decisions, from go-live on 1 April 2027, with every decision checked before release.</w:t>
            </w:r>
          </w:p>
        </w:tc>
      </w:tr>
    </w:tbl>
    <w:p w14:paraId="2D347F7E" w14:textId="77777777" w:rsidR="000476F4" w:rsidRDefault="000476F4">
      <w:pPr>
        <w:spacing w:after="40"/>
      </w:pPr>
    </w:p>
    <w:p w14:paraId="520BE222" w14:textId="77777777" w:rsidR="000476F4" w:rsidRDefault="003B3BB5">
      <w:pPr>
        <w:spacing w:after="20"/>
      </w:pPr>
      <w:r>
        <w:rPr>
          <w:b/>
          <w:color w:val="14213D"/>
        </w:rPr>
        <w:t>7.7 Guarantee B how measured:</w:t>
      </w:r>
    </w:p>
    <w:p w14:paraId="2CEF18A1" w14:textId="77777777" w:rsidR="000476F4" w:rsidRDefault="003B3BB5">
      <w:pPr>
        <w:spacing w:after="60"/>
      </w:pPr>
      <w:r>
        <w:rPr>
          <w:i/>
          <w:color w:val="6B7285"/>
          <w:sz w:val="18"/>
        </w:rPr>
        <w:t>The system or report that produces the number.</w:t>
      </w:r>
    </w:p>
    <w:tbl>
      <w:tblPr>
        <w:tblStyle w:val="TableGrid"/>
        <w:tblW w:w="0" w:type="auto"/>
        <w:tblLook w:val="04A0" w:firstRow="1" w:lastRow="0" w:firstColumn="1" w:lastColumn="0" w:noHBand="0" w:noVBand="1"/>
      </w:tblPr>
      <w:tblGrid>
        <w:gridCol w:w="9936"/>
      </w:tblGrid>
      <w:tr w:rsidR="000476F4" w14:paraId="28BCF633" w14:textId="77777777">
        <w:tc>
          <w:tcPr>
            <w:tcW w:w="9936" w:type="dxa"/>
            <w:shd w:val="clear" w:color="auto" w:fill="FBFAF7"/>
          </w:tcPr>
          <w:p w14:paraId="6B90B001" w14:textId="37023140" w:rsidR="000476F4" w:rsidRDefault="003854D4">
            <w:r w:rsidRPr="003854D4">
              <w:rPr>
                <w:sz w:val="18"/>
              </w:rPr>
              <w:t>A pre-release control checks every member-affecting decision for an evidence trail, a standard reason and a stated appeal route; the Head of Claims Operations reviews exceptions and the Conduct Risk Committee oversees monthly.</w:t>
            </w:r>
          </w:p>
        </w:tc>
      </w:tr>
    </w:tbl>
    <w:p w14:paraId="743DC24A" w14:textId="77777777" w:rsidR="000476F4" w:rsidRDefault="000476F4">
      <w:pPr>
        <w:spacing w:after="40"/>
      </w:pPr>
    </w:p>
    <w:p w14:paraId="005380D4" w14:textId="77777777" w:rsidR="000476F4" w:rsidRDefault="003B3BB5">
      <w:pPr>
        <w:spacing w:after="20"/>
      </w:pPr>
      <w:r>
        <w:rPr>
          <w:b/>
          <w:color w:val="14213D"/>
        </w:rPr>
        <w:t>7.8 Guarantee B what happens on breach:</w:t>
      </w:r>
    </w:p>
    <w:p w14:paraId="1E8206E1" w14:textId="77777777" w:rsidR="000476F4" w:rsidRDefault="003B3BB5">
      <w:pPr>
        <w:spacing w:after="60"/>
      </w:pPr>
      <w:r>
        <w:rPr>
          <w:i/>
          <w:color w:val="6B7285"/>
          <w:sz w:val="18"/>
        </w:rPr>
        <w:t>The action and who takes it.</w:t>
      </w:r>
    </w:p>
    <w:tbl>
      <w:tblPr>
        <w:tblStyle w:val="TableGrid"/>
        <w:tblW w:w="0" w:type="auto"/>
        <w:tblLook w:val="04A0" w:firstRow="1" w:lastRow="0" w:firstColumn="1" w:lastColumn="0" w:noHBand="0" w:noVBand="1"/>
      </w:tblPr>
      <w:tblGrid>
        <w:gridCol w:w="9936"/>
      </w:tblGrid>
      <w:tr w:rsidR="000476F4" w14:paraId="4F272732" w14:textId="77777777">
        <w:tc>
          <w:tcPr>
            <w:tcW w:w="9936" w:type="dxa"/>
            <w:shd w:val="clear" w:color="auto" w:fill="FBFAF7"/>
          </w:tcPr>
          <w:p w14:paraId="7D4EB29D" w14:textId="504D5BB4" w:rsidR="000476F4" w:rsidRDefault="00AB635B">
            <w:r w:rsidRPr="00AB635B">
              <w:rPr>
                <w:sz w:val="18"/>
              </w:rPr>
              <w:t>Any decision failing the control is blocked from release and routed for human review; the Head of Claims Operations investigates the failure and reports the exception and corrective action to the Conduct Risk Committee.</w:t>
            </w:r>
          </w:p>
        </w:tc>
      </w:tr>
    </w:tbl>
    <w:p w14:paraId="2C17943D" w14:textId="77777777" w:rsidR="000476F4" w:rsidRDefault="000476F4">
      <w:pPr>
        <w:spacing w:after="40"/>
      </w:pPr>
    </w:p>
    <w:p w14:paraId="1F9EB14B" w14:textId="77777777" w:rsidR="000476F4" w:rsidRDefault="000476F4">
      <w:pPr>
        <w:spacing w:after="160"/>
      </w:pPr>
    </w:p>
    <w:p w14:paraId="26044883" w14:textId="77777777" w:rsidR="000476F4" w:rsidRDefault="003B3BB5">
      <w:pPr>
        <w:spacing w:after="20"/>
      </w:pPr>
      <w:r>
        <w:rPr>
          <w:b/>
          <w:color w:val="1B65F5"/>
          <w:sz w:val="17"/>
        </w:rPr>
        <w:t>SECTION 8</w:t>
      </w:r>
    </w:p>
    <w:p w14:paraId="0D5EA142" w14:textId="77777777" w:rsidR="000476F4" w:rsidRDefault="003B3BB5">
      <w:pPr>
        <w:spacing w:after="120"/>
      </w:pPr>
      <w:r>
        <w:rPr>
          <w:b/>
          <w:color w:val="14213D"/>
          <w:sz w:val="28"/>
        </w:rPr>
        <w:t>Orchestration: platform and pattern</w:t>
      </w:r>
    </w:p>
    <w:p w14:paraId="025D2863" w14:textId="77777777" w:rsidR="000476F4" w:rsidRDefault="003B3BB5">
      <w:pPr>
        <w:spacing w:after="20"/>
      </w:pPr>
      <w:r>
        <w:rPr>
          <w:b/>
          <w:color w:val="14213D"/>
        </w:rPr>
        <w:t>8.1 Option A considered:</w:t>
      </w:r>
    </w:p>
    <w:p w14:paraId="4AE31569" w14:textId="77777777" w:rsidR="000476F4" w:rsidRDefault="003B3BB5">
      <w:pPr>
        <w:spacing w:after="60"/>
      </w:pPr>
      <w:r>
        <w:rPr>
          <w:i/>
          <w:color w:val="6B7285"/>
          <w:sz w:val="18"/>
        </w:rPr>
        <w:t>Name it.</w:t>
      </w:r>
    </w:p>
    <w:tbl>
      <w:tblPr>
        <w:tblStyle w:val="TableGrid"/>
        <w:tblW w:w="0" w:type="auto"/>
        <w:tblLook w:val="04A0" w:firstRow="1" w:lastRow="0" w:firstColumn="1" w:lastColumn="0" w:noHBand="0" w:noVBand="1"/>
      </w:tblPr>
      <w:tblGrid>
        <w:gridCol w:w="9936"/>
      </w:tblGrid>
      <w:tr w:rsidR="000476F4" w14:paraId="52E0AECE" w14:textId="77777777">
        <w:tc>
          <w:tcPr>
            <w:tcW w:w="9936" w:type="dxa"/>
            <w:shd w:val="clear" w:color="auto" w:fill="FBFAF7"/>
          </w:tcPr>
          <w:p w14:paraId="04B946E0" w14:textId="2422912D" w:rsidR="000476F4" w:rsidRDefault="00990C1A">
            <w:r w:rsidRPr="00990C1A">
              <w:rPr>
                <w:sz w:val="18"/>
              </w:rPr>
              <w:t>A — Rules-based, human-in-the-loop workflow engine with an auditable decision log, using read-only document retrieval from both policy systems and manual retrieval as the fallback if connectors are not funded.</w:t>
            </w:r>
          </w:p>
        </w:tc>
      </w:tr>
    </w:tbl>
    <w:p w14:paraId="109EEDDB" w14:textId="77777777" w:rsidR="000476F4" w:rsidRDefault="000476F4">
      <w:pPr>
        <w:spacing w:after="40"/>
      </w:pPr>
    </w:p>
    <w:p w14:paraId="3C1795F1" w14:textId="77777777" w:rsidR="000476F4" w:rsidRDefault="003B3BB5">
      <w:pPr>
        <w:spacing w:after="20"/>
      </w:pPr>
      <w:r>
        <w:rPr>
          <w:b/>
          <w:color w:val="14213D"/>
        </w:rPr>
        <w:t>8.2 Option B considered:</w:t>
      </w:r>
    </w:p>
    <w:p w14:paraId="6FE01EE8" w14:textId="77777777" w:rsidR="000476F4" w:rsidRDefault="003B3BB5">
      <w:pPr>
        <w:spacing w:after="60"/>
      </w:pPr>
      <w:r>
        <w:rPr>
          <w:i/>
          <w:color w:val="6B7285"/>
          <w:sz w:val="18"/>
        </w:rPr>
        <w:t>Name a genuinely different one.</w:t>
      </w:r>
    </w:p>
    <w:tbl>
      <w:tblPr>
        <w:tblStyle w:val="TableGrid"/>
        <w:tblW w:w="0" w:type="auto"/>
        <w:tblLook w:val="04A0" w:firstRow="1" w:lastRow="0" w:firstColumn="1" w:lastColumn="0" w:noHBand="0" w:noVBand="1"/>
      </w:tblPr>
      <w:tblGrid>
        <w:gridCol w:w="9936"/>
      </w:tblGrid>
      <w:tr w:rsidR="000476F4" w14:paraId="3F5383F4" w14:textId="77777777">
        <w:tc>
          <w:tcPr>
            <w:tcW w:w="9936" w:type="dxa"/>
            <w:shd w:val="clear" w:color="auto" w:fill="FBFAF7"/>
          </w:tcPr>
          <w:p w14:paraId="040E9AC1" w14:textId="77777777" w:rsidR="000476F4" w:rsidRDefault="003B3BB5">
            <w:r>
              <w:rPr>
                <w:sz w:val="18"/>
              </w:rPr>
              <w:t>B — AI-driven straight-through claims adjudication and settlement, using model-based eligibility recommendations with automated payment for low-value cases.</w:t>
            </w:r>
          </w:p>
        </w:tc>
      </w:tr>
    </w:tbl>
    <w:p w14:paraId="01F9F712" w14:textId="77777777" w:rsidR="000476F4" w:rsidRDefault="000476F4">
      <w:pPr>
        <w:spacing w:after="40"/>
      </w:pPr>
    </w:p>
    <w:p w14:paraId="6D880F54" w14:textId="77777777" w:rsidR="000476F4" w:rsidRDefault="003B3BB5">
      <w:pPr>
        <w:spacing w:after="20"/>
      </w:pPr>
      <w:r>
        <w:rPr>
          <w:b/>
          <w:color w:val="14213D"/>
        </w:rPr>
        <w:t>8.3 Chosen:</w:t>
      </w:r>
    </w:p>
    <w:p w14:paraId="17C106A7" w14:textId="77777777" w:rsidR="000476F4" w:rsidRDefault="003B3BB5">
      <w:pPr>
        <w:spacing w:after="60"/>
      </w:pPr>
      <w:r>
        <w:rPr>
          <w:i/>
          <w:color w:val="6B7285"/>
          <w:sz w:val="18"/>
        </w:rPr>
        <w:t>A or B.</w:t>
      </w:r>
    </w:p>
    <w:tbl>
      <w:tblPr>
        <w:tblStyle w:val="TableGrid"/>
        <w:tblW w:w="0" w:type="auto"/>
        <w:tblLook w:val="04A0" w:firstRow="1" w:lastRow="0" w:firstColumn="1" w:lastColumn="0" w:noHBand="0" w:noVBand="1"/>
      </w:tblPr>
      <w:tblGrid>
        <w:gridCol w:w="9936"/>
      </w:tblGrid>
      <w:tr w:rsidR="000476F4" w14:paraId="330868FE" w14:textId="77777777">
        <w:tc>
          <w:tcPr>
            <w:tcW w:w="9936" w:type="dxa"/>
            <w:shd w:val="clear" w:color="auto" w:fill="FBFAF7"/>
          </w:tcPr>
          <w:p w14:paraId="6328E5E5" w14:textId="11925D66" w:rsidR="000476F4" w:rsidRDefault="003B3BB5">
            <w:r>
              <w:rPr>
                <w:sz w:val="18"/>
              </w:rPr>
              <w:t xml:space="preserve">A — Rules-based, human-in-the-loop workflow </w:t>
            </w:r>
            <w:r w:rsidR="006872EA" w:rsidRPr="00990C1A">
              <w:rPr>
                <w:sz w:val="18"/>
              </w:rPr>
              <w:t>engine</w:t>
            </w:r>
            <w:r>
              <w:rPr>
                <w:sz w:val="18"/>
              </w:rPr>
              <w:t>.</w:t>
            </w:r>
          </w:p>
        </w:tc>
      </w:tr>
    </w:tbl>
    <w:p w14:paraId="64B0BA34" w14:textId="77777777" w:rsidR="000476F4" w:rsidRDefault="000476F4">
      <w:pPr>
        <w:spacing w:after="40"/>
      </w:pPr>
    </w:p>
    <w:p w14:paraId="6AE4463D" w14:textId="77777777" w:rsidR="000476F4" w:rsidRDefault="003B3BB5">
      <w:pPr>
        <w:spacing w:after="20"/>
      </w:pPr>
      <w:r>
        <w:rPr>
          <w:b/>
          <w:color w:val="14213D"/>
        </w:rPr>
        <w:t>8.4 The requirement that decided it:</w:t>
      </w:r>
    </w:p>
    <w:p w14:paraId="52677AD6" w14:textId="77777777" w:rsidR="000476F4" w:rsidRDefault="003B3BB5">
      <w:pPr>
        <w:spacing w:after="60"/>
      </w:pPr>
      <w:r>
        <w:rPr>
          <w:i/>
          <w:color w:val="6B7285"/>
          <w:sz w:val="18"/>
        </w:rPr>
        <w:t>Tie it to the task, not to familiarity.</w:t>
      </w:r>
    </w:p>
    <w:tbl>
      <w:tblPr>
        <w:tblStyle w:val="TableGrid"/>
        <w:tblW w:w="0" w:type="auto"/>
        <w:tblLook w:val="04A0" w:firstRow="1" w:lastRow="0" w:firstColumn="1" w:lastColumn="0" w:noHBand="0" w:noVBand="1"/>
      </w:tblPr>
      <w:tblGrid>
        <w:gridCol w:w="9936"/>
      </w:tblGrid>
      <w:tr w:rsidR="000476F4" w14:paraId="423D1F19" w14:textId="77777777">
        <w:tc>
          <w:tcPr>
            <w:tcW w:w="9936" w:type="dxa"/>
            <w:shd w:val="clear" w:color="auto" w:fill="FBFAF7"/>
          </w:tcPr>
          <w:p w14:paraId="66E03423" w14:textId="62C8A5C6" w:rsidR="000476F4" w:rsidRDefault="00990C1A">
            <w:r w:rsidRPr="00990C1A">
              <w:rPr>
                <w:sz w:val="18"/>
              </w:rPr>
              <w:t xml:space="preserve">Cover must be confirmed before payment; the largest traced delay (38%) is missing evidence across two policy systems that stay </w:t>
            </w:r>
            <w:r w:rsidRPr="00990C1A">
              <w:rPr>
                <w:sz w:val="18"/>
              </w:rPr>
              <w:lastRenderedPageBreak/>
              <w:t>separate until at least 2027; and explainable, appealable outcomes are mandatory.</w:t>
            </w:r>
          </w:p>
        </w:tc>
      </w:tr>
    </w:tbl>
    <w:p w14:paraId="3DDEC9A4" w14:textId="77777777" w:rsidR="000476F4" w:rsidRDefault="000476F4">
      <w:pPr>
        <w:spacing w:after="40"/>
      </w:pPr>
    </w:p>
    <w:p w14:paraId="26EA5DF7" w14:textId="77777777" w:rsidR="000476F4" w:rsidRDefault="003B3BB5">
      <w:pPr>
        <w:spacing w:after="20"/>
      </w:pPr>
      <w:r>
        <w:rPr>
          <w:b/>
          <w:color w:val="14213D"/>
        </w:rPr>
        <w:t>8.5 What would have to change for the other option to win:</w:t>
      </w:r>
    </w:p>
    <w:p w14:paraId="082387DA" w14:textId="77777777" w:rsidR="000476F4" w:rsidRDefault="003B3BB5">
      <w:pPr>
        <w:spacing w:after="60"/>
      </w:pPr>
      <w:r>
        <w:rPr>
          <w:i/>
          <w:color w:val="6B7285"/>
          <w:sz w:val="18"/>
        </w:rPr>
        <w:t>If nothing would, you have not evaluated it.</w:t>
      </w:r>
    </w:p>
    <w:tbl>
      <w:tblPr>
        <w:tblStyle w:val="TableGrid"/>
        <w:tblW w:w="0" w:type="auto"/>
        <w:tblLook w:val="04A0" w:firstRow="1" w:lastRow="0" w:firstColumn="1" w:lastColumn="0" w:noHBand="0" w:noVBand="1"/>
      </w:tblPr>
      <w:tblGrid>
        <w:gridCol w:w="9936"/>
      </w:tblGrid>
      <w:tr w:rsidR="000476F4" w14:paraId="0FF48857" w14:textId="77777777">
        <w:tc>
          <w:tcPr>
            <w:tcW w:w="9936" w:type="dxa"/>
            <w:shd w:val="clear" w:color="auto" w:fill="FBFAF7"/>
          </w:tcPr>
          <w:p w14:paraId="561F75BC" w14:textId="7171EBEC" w:rsidR="000476F4" w:rsidRDefault="00990C1A">
            <w:r w:rsidRPr="00990C1A">
              <w:rPr>
                <w:sz w:val="18"/>
              </w:rPr>
              <w:t>Option B could win if coverage evidence were reliably accessible from both policy systems without integration funding, pilots showed safe, explainable low-value decisions with working appeals, and the Claims Governance and Conduct Risk Committees approved the controls.</w:t>
            </w:r>
          </w:p>
        </w:tc>
      </w:tr>
    </w:tbl>
    <w:p w14:paraId="331F1952" w14:textId="77777777" w:rsidR="000476F4" w:rsidRDefault="000476F4">
      <w:pPr>
        <w:spacing w:after="40"/>
      </w:pPr>
    </w:p>
    <w:p w14:paraId="4B1B1C9B" w14:textId="77777777" w:rsidR="000476F4" w:rsidRDefault="000476F4">
      <w:pPr>
        <w:spacing w:after="160"/>
      </w:pPr>
    </w:p>
    <w:p w14:paraId="6A253A87" w14:textId="77777777" w:rsidR="000476F4" w:rsidRDefault="003B3BB5">
      <w:pPr>
        <w:spacing w:after="20"/>
      </w:pPr>
      <w:r>
        <w:rPr>
          <w:b/>
          <w:color w:val="1B65F5"/>
          <w:sz w:val="17"/>
        </w:rPr>
        <w:t>SECTION 9</w:t>
      </w:r>
    </w:p>
    <w:p w14:paraId="31432D2D" w14:textId="77777777" w:rsidR="000476F4" w:rsidRDefault="003B3BB5">
      <w:pPr>
        <w:spacing w:after="120"/>
      </w:pPr>
      <w:r>
        <w:rPr>
          <w:b/>
          <w:color w:val="14213D"/>
          <w:sz w:val="28"/>
        </w:rPr>
        <w:t>Context and range</w:t>
      </w:r>
    </w:p>
    <w:p w14:paraId="7928F2E8" w14:textId="77777777" w:rsidR="000476F4" w:rsidRDefault="003B3BB5">
      <w:pPr>
        <w:spacing w:after="20"/>
      </w:pPr>
      <w:r>
        <w:rPr>
          <w:b/>
          <w:color w:val="14213D"/>
        </w:rPr>
        <w:t>9.1 Governance body consulted:</w:t>
      </w:r>
    </w:p>
    <w:p w14:paraId="32FBAD23" w14:textId="77777777" w:rsidR="000476F4" w:rsidRDefault="003B3BB5">
      <w:pPr>
        <w:spacing w:after="60"/>
      </w:pPr>
      <w:r>
        <w:rPr>
          <w:i/>
          <w:color w:val="6B7285"/>
          <w:sz w:val="18"/>
        </w:rPr>
        <w:t>Name it from the brief.</w:t>
      </w:r>
    </w:p>
    <w:tbl>
      <w:tblPr>
        <w:tblStyle w:val="TableGrid"/>
        <w:tblW w:w="0" w:type="auto"/>
        <w:tblLook w:val="04A0" w:firstRow="1" w:lastRow="0" w:firstColumn="1" w:lastColumn="0" w:noHBand="0" w:noVBand="1"/>
      </w:tblPr>
      <w:tblGrid>
        <w:gridCol w:w="9936"/>
      </w:tblGrid>
      <w:tr w:rsidR="000476F4" w14:paraId="06D58613" w14:textId="77777777">
        <w:tc>
          <w:tcPr>
            <w:tcW w:w="9936" w:type="dxa"/>
            <w:shd w:val="clear" w:color="auto" w:fill="FBFAF7"/>
          </w:tcPr>
          <w:p w14:paraId="7C2DDF1E" w14:textId="77777777" w:rsidR="000476F4" w:rsidRDefault="003B3BB5">
            <w:r>
              <w:rPr>
                <w:sz w:val="18"/>
              </w:rPr>
              <w:t>Conduct Risk Committee.</w:t>
            </w:r>
          </w:p>
        </w:tc>
      </w:tr>
    </w:tbl>
    <w:p w14:paraId="48854A43" w14:textId="77777777" w:rsidR="000476F4" w:rsidRDefault="000476F4">
      <w:pPr>
        <w:spacing w:after="40"/>
      </w:pPr>
    </w:p>
    <w:p w14:paraId="3C7ED17E" w14:textId="77777777" w:rsidR="000476F4" w:rsidRDefault="003B3BB5">
      <w:pPr>
        <w:spacing w:after="20"/>
      </w:pPr>
      <w:r>
        <w:rPr>
          <w:b/>
          <w:color w:val="14213D"/>
        </w:rPr>
        <w:t>9.2 The constraint it imposes:</w:t>
      </w:r>
    </w:p>
    <w:p w14:paraId="6837B0DA" w14:textId="77777777" w:rsidR="000476F4" w:rsidRDefault="003B3BB5">
      <w:pPr>
        <w:spacing w:after="60"/>
      </w:pPr>
      <w:r>
        <w:rPr>
          <w:i/>
          <w:color w:val="6B7285"/>
          <w:sz w:val="18"/>
        </w:rPr>
        <w:t>What it stops you doing.</w:t>
      </w:r>
    </w:p>
    <w:tbl>
      <w:tblPr>
        <w:tblStyle w:val="TableGrid"/>
        <w:tblW w:w="0" w:type="auto"/>
        <w:tblLook w:val="04A0" w:firstRow="1" w:lastRow="0" w:firstColumn="1" w:lastColumn="0" w:noHBand="0" w:noVBand="1"/>
      </w:tblPr>
      <w:tblGrid>
        <w:gridCol w:w="9936"/>
      </w:tblGrid>
      <w:tr w:rsidR="000476F4" w14:paraId="0168591F" w14:textId="77777777">
        <w:tc>
          <w:tcPr>
            <w:tcW w:w="9936" w:type="dxa"/>
            <w:shd w:val="clear" w:color="auto" w:fill="FBFAF7"/>
          </w:tcPr>
          <w:p w14:paraId="3B88927B" w14:textId="1630A735" w:rsidR="000476F4" w:rsidRDefault="00A6556B">
            <w:r w:rsidRPr="00A6556B">
              <w:rPr>
                <w:sz w:val="18"/>
              </w:rPr>
              <w:t>The Conduct Risk Committee must approve anything affecting fair treatment of members, including automated decisions, so no unattended decision path can go live until the regulator’s explain-and-appeal requirement has been demonstrated to it.</w:t>
            </w:r>
          </w:p>
        </w:tc>
      </w:tr>
    </w:tbl>
    <w:p w14:paraId="1B2FA4F9" w14:textId="77777777" w:rsidR="000476F4" w:rsidRDefault="000476F4">
      <w:pPr>
        <w:spacing w:after="40"/>
      </w:pPr>
    </w:p>
    <w:p w14:paraId="0DD8AC78" w14:textId="77777777" w:rsidR="000476F4" w:rsidRDefault="003B3BB5">
      <w:pPr>
        <w:spacing w:after="20"/>
      </w:pPr>
      <w:r>
        <w:rPr>
          <w:b/>
          <w:color w:val="14213D"/>
        </w:rPr>
        <w:t>9.3 Second governance body:</w:t>
      </w:r>
    </w:p>
    <w:p w14:paraId="4C5D2590" w14:textId="77777777" w:rsidR="000476F4" w:rsidRDefault="003B3BB5">
      <w:pPr>
        <w:spacing w:after="60"/>
      </w:pPr>
      <w:r>
        <w:rPr>
          <w:i/>
          <w:color w:val="6B7285"/>
          <w:sz w:val="18"/>
        </w:rPr>
        <w:t>Name it from the brief.</w:t>
      </w:r>
    </w:p>
    <w:tbl>
      <w:tblPr>
        <w:tblStyle w:val="TableGrid"/>
        <w:tblW w:w="0" w:type="auto"/>
        <w:tblLook w:val="04A0" w:firstRow="1" w:lastRow="0" w:firstColumn="1" w:lastColumn="0" w:noHBand="0" w:noVBand="1"/>
      </w:tblPr>
      <w:tblGrid>
        <w:gridCol w:w="9936"/>
      </w:tblGrid>
      <w:tr w:rsidR="000476F4" w14:paraId="66FE4114" w14:textId="77777777">
        <w:tc>
          <w:tcPr>
            <w:tcW w:w="9936" w:type="dxa"/>
            <w:shd w:val="clear" w:color="auto" w:fill="FBFAF7"/>
          </w:tcPr>
          <w:p w14:paraId="2C76DCB8" w14:textId="77777777" w:rsidR="000476F4" w:rsidRDefault="003B3BB5">
            <w:r>
              <w:rPr>
                <w:sz w:val="18"/>
              </w:rPr>
              <w:t>Claims Governance Committee.</w:t>
            </w:r>
          </w:p>
        </w:tc>
      </w:tr>
    </w:tbl>
    <w:p w14:paraId="43138BFC" w14:textId="77777777" w:rsidR="000476F4" w:rsidRDefault="000476F4">
      <w:pPr>
        <w:spacing w:after="40"/>
      </w:pPr>
    </w:p>
    <w:p w14:paraId="5FEE15B7" w14:textId="77777777" w:rsidR="000476F4" w:rsidRDefault="003B3BB5">
      <w:pPr>
        <w:spacing w:after="20"/>
      </w:pPr>
      <w:r>
        <w:rPr>
          <w:b/>
          <w:color w:val="14213D"/>
        </w:rPr>
        <w:t>9.4 The constraint it imposes:</w:t>
      </w:r>
    </w:p>
    <w:p w14:paraId="4BC3FF25" w14:textId="77777777" w:rsidR="000476F4" w:rsidRDefault="003B3BB5">
      <w:pPr>
        <w:spacing w:after="60"/>
      </w:pPr>
      <w:r>
        <w:rPr>
          <w:i/>
          <w:color w:val="6B7285"/>
          <w:sz w:val="18"/>
        </w:rPr>
        <w:t>What it stops you doing.</w:t>
      </w:r>
    </w:p>
    <w:tbl>
      <w:tblPr>
        <w:tblStyle w:val="TableGrid"/>
        <w:tblW w:w="0" w:type="auto"/>
        <w:tblLook w:val="04A0" w:firstRow="1" w:lastRow="0" w:firstColumn="1" w:lastColumn="0" w:noHBand="0" w:noVBand="1"/>
      </w:tblPr>
      <w:tblGrid>
        <w:gridCol w:w="9936"/>
      </w:tblGrid>
      <w:tr w:rsidR="000476F4" w14:paraId="20123F7D" w14:textId="77777777">
        <w:tc>
          <w:tcPr>
            <w:tcW w:w="9936" w:type="dxa"/>
            <w:shd w:val="clear" w:color="auto" w:fill="FBFAF7"/>
          </w:tcPr>
          <w:p w14:paraId="39201D56" w14:textId="7981E983" w:rsidR="000476F4" w:rsidRDefault="000F68C0">
            <w:r w:rsidRPr="000F68C0">
              <w:rPr>
                <w:sz w:val="18"/>
              </w:rPr>
              <w:t>It controls changes to claims procedures and settlement authority limits, so a new workflow cannot be deployed without its approval. The Reserving Committee must also review any change that shifts settlement timing against open-claim reserves.</w:t>
            </w:r>
          </w:p>
        </w:tc>
      </w:tr>
    </w:tbl>
    <w:p w14:paraId="771A70AE" w14:textId="77777777" w:rsidR="000476F4" w:rsidRDefault="000476F4">
      <w:pPr>
        <w:spacing w:after="40"/>
      </w:pPr>
    </w:p>
    <w:p w14:paraId="4C61ADFC" w14:textId="77777777" w:rsidR="000476F4" w:rsidRDefault="003B3BB5">
      <w:pPr>
        <w:spacing w:after="20"/>
      </w:pPr>
      <w:r>
        <w:rPr>
          <w:b/>
          <w:color w:val="14213D"/>
        </w:rPr>
        <w:t>9.5 Which stakeholder lens this changes, and how:</w:t>
      </w:r>
    </w:p>
    <w:p w14:paraId="5A5C703E" w14:textId="77777777" w:rsidR="000476F4" w:rsidRDefault="003B3BB5">
      <w:pPr>
        <w:spacing w:after="60"/>
      </w:pPr>
      <w:r>
        <w:rPr>
          <w:i/>
          <w:color w:val="6B7285"/>
          <w:sz w:val="18"/>
        </w:rPr>
        <w:t>Point back to section 3.</w:t>
      </w:r>
    </w:p>
    <w:tbl>
      <w:tblPr>
        <w:tblStyle w:val="TableGrid"/>
        <w:tblW w:w="0" w:type="auto"/>
        <w:tblLook w:val="04A0" w:firstRow="1" w:lastRow="0" w:firstColumn="1" w:lastColumn="0" w:noHBand="0" w:noVBand="1"/>
      </w:tblPr>
      <w:tblGrid>
        <w:gridCol w:w="9936"/>
      </w:tblGrid>
      <w:tr w:rsidR="000476F4" w14:paraId="7C23AC91" w14:textId="77777777">
        <w:tc>
          <w:tcPr>
            <w:tcW w:w="9936" w:type="dxa"/>
            <w:shd w:val="clear" w:color="auto" w:fill="FBFAF7"/>
          </w:tcPr>
          <w:p w14:paraId="274AD03E" w14:textId="692C939D" w:rsidR="000476F4" w:rsidRDefault="000F68C0">
            <w:r w:rsidRPr="000F68C0">
              <w:rPr>
                <w:sz w:val="18"/>
              </w:rPr>
              <w:t>Risk lens (3.2): the Conduct Risk Committee’s sign-off makes explainability and appeal rights part of the Head of Claims Operations’ settlement-challenge risk, and the Head of Underwriting Services must evidence every eligibility decision.</w:t>
            </w:r>
          </w:p>
        </w:tc>
      </w:tr>
    </w:tbl>
    <w:p w14:paraId="7FA032E7" w14:textId="77777777" w:rsidR="000476F4" w:rsidRDefault="000476F4">
      <w:pPr>
        <w:spacing w:after="40"/>
      </w:pPr>
    </w:p>
    <w:p w14:paraId="3FCDCE6A" w14:textId="77777777" w:rsidR="000476F4" w:rsidRDefault="003B3BB5">
      <w:pPr>
        <w:spacing w:after="20"/>
      </w:pPr>
      <w:r>
        <w:rPr>
          <w:b/>
          <w:color w:val="14213D"/>
        </w:rPr>
        <w:t>9.6 Another capability in this organisation the same pattern would serve:</w:t>
      </w:r>
    </w:p>
    <w:p w14:paraId="55749425" w14:textId="77777777" w:rsidR="000476F4" w:rsidRDefault="003B3BB5">
      <w:pPr>
        <w:spacing w:after="60"/>
      </w:pPr>
      <w:r>
        <w:rPr>
          <w:i/>
          <w:color w:val="6B7285"/>
          <w:sz w:val="18"/>
        </w:rPr>
        <w:t>Name it from your table or the brief.</w:t>
      </w:r>
    </w:p>
    <w:tbl>
      <w:tblPr>
        <w:tblStyle w:val="TableGrid"/>
        <w:tblW w:w="0" w:type="auto"/>
        <w:tblLook w:val="04A0" w:firstRow="1" w:lastRow="0" w:firstColumn="1" w:lastColumn="0" w:noHBand="0" w:noVBand="1"/>
      </w:tblPr>
      <w:tblGrid>
        <w:gridCol w:w="9936"/>
      </w:tblGrid>
      <w:tr w:rsidR="000476F4" w14:paraId="42681721" w14:textId="77777777">
        <w:tc>
          <w:tcPr>
            <w:tcW w:w="9936" w:type="dxa"/>
            <w:shd w:val="clear" w:color="auto" w:fill="FBFAF7"/>
          </w:tcPr>
          <w:p w14:paraId="74642EE6" w14:textId="6FA900D8" w:rsidR="000476F4" w:rsidRDefault="00A25C5F">
            <w:r w:rsidRPr="00A25C5F">
              <w:rPr>
                <w:sz w:val="18"/>
              </w:rPr>
              <w:t>Adjuster Assignment (Assign an Adjuster): check specialist licence, location and capacity before assignment, to reduce the 31% reassignment rate.</w:t>
            </w:r>
          </w:p>
        </w:tc>
      </w:tr>
    </w:tbl>
    <w:p w14:paraId="2E4C2448" w14:textId="77777777" w:rsidR="000476F4" w:rsidRDefault="000476F4">
      <w:pPr>
        <w:spacing w:after="40"/>
      </w:pPr>
    </w:p>
    <w:p w14:paraId="3A18A916" w14:textId="77777777" w:rsidR="000476F4" w:rsidRDefault="003B3BB5">
      <w:pPr>
        <w:spacing w:after="20"/>
      </w:pPr>
      <w:r>
        <w:rPr>
          <w:b/>
          <w:color w:val="14213D"/>
        </w:rPr>
        <w:t>9.7 The named architecture pattern this is an instance of:</w:t>
      </w:r>
    </w:p>
    <w:p w14:paraId="5F1B7D0B" w14:textId="77777777" w:rsidR="000476F4" w:rsidRDefault="003B3BB5">
      <w:pPr>
        <w:spacing w:after="60"/>
      </w:pPr>
      <w:r>
        <w:rPr>
          <w:i/>
          <w:color w:val="6B7285"/>
          <w:sz w:val="18"/>
        </w:rPr>
        <w:t>Give it its proper name.</w:t>
      </w:r>
    </w:p>
    <w:tbl>
      <w:tblPr>
        <w:tblStyle w:val="TableGrid"/>
        <w:tblW w:w="0" w:type="auto"/>
        <w:tblLook w:val="04A0" w:firstRow="1" w:lastRow="0" w:firstColumn="1" w:lastColumn="0" w:noHBand="0" w:noVBand="1"/>
      </w:tblPr>
      <w:tblGrid>
        <w:gridCol w:w="9936"/>
      </w:tblGrid>
      <w:tr w:rsidR="000476F4" w14:paraId="5342B33B" w14:textId="77777777">
        <w:tc>
          <w:tcPr>
            <w:tcW w:w="9936" w:type="dxa"/>
            <w:shd w:val="clear" w:color="auto" w:fill="FBFAF7"/>
          </w:tcPr>
          <w:p w14:paraId="3C98F6D9" w14:textId="36B7C7E1" w:rsidR="000476F4" w:rsidRDefault="00A25C5F">
            <w:r w:rsidRPr="00A25C5F">
              <w:rPr>
                <w:sz w:val="18"/>
              </w:rPr>
              <w:t>Pre-condition gate (“validate before act”) within a human-in-the-loop workflow, with an auditable decision log.</w:t>
            </w:r>
          </w:p>
        </w:tc>
      </w:tr>
    </w:tbl>
    <w:p w14:paraId="40E2B474" w14:textId="77777777" w:rsidR="000476F4" w:rsidRDefault="000476F4">
      <w:pPr>
        <w:spacing w:after="40"/>
      </w:pPr>
    </w:p>
    <w:p w14:paraId="54318DB2" w14:textId="77777777" w:rsidR="000476F4" w:rsidRDefault="003B3BB5">
      <w:pPr>
        <w:spacing w:after="20"/>
      </w:pPr>
      <w:r>
        <w:rPr>
          <w:b/>
          <w:color w:val="14213D"/>
        </w:rPr>
        <w:t>9.8 What would need to be true to reuse it there:</w:t>
      </w:r>
    </w:p>
    <w:p w14:paraId="0C15D16A" w14:textId="77777777" w:rsidR="000476F4" w:rsidRDefault="003B3BB5">
      <w:pPr>
        <w:spacing w:after="60"/>
      </w:pPr>
      <w:r>
        <w:rPr>
          <w:i/>
          <w:color w:val="6B7285"/>
          <w:sz w:val="18"/>
        </w:rPr>
        <w:t>The precondition.</w:t>
      </w:r>
    </w:p>
    <w:tbl>
      <w:tblPr>
        <w:tblStyle w:val="TableGrid"/>
        <w:tblW w:w="0" w:type="auto"/>
        <w:tblLook w:val="04A0" w:firstRow="1" w:lastRow="0" w:firstColumn="1" w:lastColumn="0" w:noHBand="0" w:noVBand="1"/>
      </w:tblPr>
      <w:tblGrid>
        <w:gridCol w:w="9936"/>
      </w:tblGrid>
      <w:tr w:rsidR="000476F4" w14:paraId="3B460207" w14:textId="77777777">
        <w:tc>
          <w:tcPr>
            <w:tcW w:w="9936" w:type="dxa"/>
            <w:shd w:val="clear" w:color="auto" w:fill="FBFAF7"/>
          </w:tcPr>
          <w:p w14:paraId="3C0F8AA0" w14:textId="313D3619" w:rsidR="000476F4" w:rsidRDefault="00210A00">
            <w:r w:rsidRPr="00210A00">
              <w:rPr>
                <w:sz w:val="18"/>
              </w:rPr>
              <w:t>Adjuster licence, location and capacity data must sit in one queryable place (not confirmed today; missing licences are the top reassignment reason), with approved allocation rules and a manual override on every assignment.</w:t>
            </w:r>
          </w:p>
        </w:tc>
      </w:tr>
    </w:tbl>
    <w:p w14:paraId="07C8A196" w14:textId="77777777" w:rsidR="000476F4" w:rsidRDefault="000476F4">
      <w:pPr>
        <w:spacing w:after="40"/>
      </w:pPr>
    </w:p>
    <w:p w14:paraId="36EB9F34" w14:textId="77777777" w:rsidR="000476F4" w:rsidRDefault="000476F4">
      <w:pPr>
        <w:spacing w:after="160"/>
      </w:pPr>
    </w:p>
    <w:p w14:paraId="08477213" w14:textId="77777777" w:rsidR="000476F4" w:rsidRDefault="003B3BB5">
      <w:pPr>
        <w:spacing w:after="20"/>
      </w:pPr>
      <w:r>
        <w:rPr>
          <w:b/>
          <w:color w:val="1B65F5"/>
          <w:sz w:val="17"/>
        </w:rPr>
        <w:t>SECTION 10</w:t>
      </w:r>
    </w:p>
    <w:p w14:paraId="37EFF0C2" w14:textId="77777777" w:rsidR="000476F4" w:rsidRDefault="003B3BB5">
      <w:pPr>
        <w:spacing w:after="120"/>
      </w:pPr>
      <w:r>
        <w:rPr>
          <w:b/>
          <w:color w:val="14213D"/>
          <w:sz w:val="28"/>
        </w:rPr>
        <w:t>Self assessment and peer review</w:t>
      </w:r>
    </w:p>
    <w:p w14:paraId="0AF4229D" w14:textId="77777777" w:rsidR="000476F4" w:rsidRDefault="003B3BB5">
      <w:pPr>
        <w:spacing w:after="20"/>
      </w:pPr>
      <w:r>
        <w:rPr>
          <w:b/>
          <w:color w:val="14213D"/>
        </w:rPr>
        <w:t>10.1 Reviewed by:</w:t>
      </w:r>
    </w:p>
    <w:p w14:paraId="52E0963C" w14:textId="77777777" w:rsidR="000476F4" w:rsidRDefault="003B3BB5">
      <w:pPr>
        <w:spacing w:after="60"/>
      </w:pPr>
      <w:r>
        <w:rPr>
          <w:i/>
          <w:color w:val="6B7285"/>
          <w:sz w:val="18"/>
        </w:rPr>
        <w:t>The podmate who reviewed your work in the Day 3 breakout.</w:t>
      </w:r>
    </w:p>
    <w:tbl>
      <w:tblPr>
        <w:tblStyle w:val="TableGrid"/>
        <w:tblW w:w="0" w:type="auto"/>
        <w:tblLook w:val="04A0" w:firstRow="1" w:lastRow="0" w:firstColumn="1" w:lastColumn="0" w:noHBand="0" w:noVBand="1"/>
      </w:tblPr>
      <w:tblGrid>
        <w:gridCol w:w="9936"/>
      </w:tblGrid>
      <w:tr w:rsidR="000476F4" w14:paraId="7ADE6236" w14:textId="77777777">
        <w:tc>
          <w:tcPr>
            <w:tcW w:w="9936" w:type="dxa"/>
            <w:shd w:val="clear" w:color="auto" w:fill="FBFAF7"/>
          </w:tcPr>
          <w:p w14:paraId="0CF0544A" w14:textId="30BC1E83" w:rsidR="000476F4" w:rsidRDefault="00711590">
            <w:pPr>
              <w:spacing w:after="40"/>
            </w:pPr>
            <w:r>
              <w:t>N</w:t>
            </w:r>
            <w:r w:rsidR="001A5E6E">
              <w:t>ot Applicable</w:t>
            </w:r>
          </w:p>
        </w:tc>
      </w:tr>
    </w:tbl>
    <w:p w14:paraId="406AAED3" w14:textId="77777777" w:rsidR="000476F4" w:rsidRDefault="000476F4">
      <w:pPr>
        <w:spacing w:after="40"/>
      </w:pPr>
    </w:p>
    <w:p w14:paraId="57C19C35" w14:textId="77777777" w:rsidR="000476F4" w:rsidRDefault="003B3BB5">
      <w:pPr>
        <w:spacing w:after="20"/>
      </w:pPr>
      <w:r>
        <w:rPr>
          <w:b/>
          <w:color w:val="14213D"/>
        </w:rPr>
        <w:t>10.2 The one thing they flagged that I changed:</w:t>
      </w:r>
    </w:p>
    <w:p w14:paraId="39928900" w14:textId="77777777" w:rsidR="000476F4" w:rsidRDefault="003B3BB5">
      <w:pPr>
        <w:spacing w:after="60"/>
      </w:pPr>
      <w:r>
        <w:rPr>
          <w:i/>
          <w:color w:val="6B7285"/>
          <w:sz w:val="18"/>
        </w:rPr>
        <w:t>What you changed in THIS document as a result. If nothing useful was flagged, write 'nothing flagged'.</w:t>
      </w:r>
    </w:p>
    <w:tbl>
      <w:tblPr>
        <w:tblStyle w:val="TableGrid"/>
        <w:tblW w:w="0" w:type="auto"/>
        <w:tblLook w:val="04A0" w:firstRow="1" w:lastRow="0" w:firstColumn="1" w:lastColumn="0" w:noHBand="0" w:noVBand="1"/>
      </w:tblPr>
      <w:tblGrid>
        <w:gridCol w:w="9936"/>
      </w:tblGrid>
      <w:tr w:rsidR="000476F4" w14:paraId="401B2F88" w14:textId="77777777">
        <w:tc>
          <w:tcPr>
            <w:tcW w:w="9936" w:type="dxa"/>
            <w:shd w:val="clear" w:color="auto" w:fill="FBFAF7"/>
          </w:tcPr>
          <w:p w14:paraId="7265A295" w14:textId="4E51E0C0" w:rsidR="000476F4" w:rsidRDefault="00711590">
            <w:pPr>
              <w:spacing w:after="40"/>
            </w:pPr>
            <w:r>
              <w:t>N</w:t>
            </w:r>
            <w:r w:rsidR="001A5E6E">
              <w:t>ot Applicable</w:t>
            </w:r>
          </w:p>
        </w:tc>
      </w:tr>
    </w:tbl>
    <w:p w14:paraId="6DFB428E" w14:textId="77777777" w:rsidR="000476F4" w:rsidRDefault="000476F4">
      <w:pPr>
        <w:spacing w:after="40"/>
      </w:pPr>
    </w:p>
    <w:p w14:paraId="5B352CBB" w14:textId="77777777" w:rsidR="000476F4" w:rsidRDefault="003B3BB5">
      <w:pPr>
        <w:spacing w:after="20"/>
      </w:pPr>
      <w:r>
        <w:rPr>
          <w:b/>
          <w:color w:val="14213D"/>
        </w:rPr>
        <w:t>10.3 The line I am least confident about:</w:t>
      </w:r>
    </w:p>
    <w:p w14:paraId="2201F88C" w14:textId="77777777" w:rsidR="000476F4" w:rsidRDefault="003B3BB5">
      <w:pPr>
        <w:spacing w:after="60"/>
      </w:pPr>
      <w:r>
        <w:rPr>
          <w:i/>
          <w:color w:val="6B7285"/>
          <w:sz w:val="18"/>
        </w:rPr>
        <w:t>Name one of the nine.</w:t>
      </w:r>
    </w:p>
    <w:tbl>
      <w:tblPr>
        <w:tblStyle w:val="TableGrid"/>
        <w:tblW w:w="0" w:type="auto"/>
        <w:tblLook w:val="04A0" w:firstRow="1" w:lastRow="0" w:firstColumn="1" w:lastColumn="0" w:noHBand="0" w:noVBand="1"/>
      </w:tblPr>
      <w:tblGrid>
        <w:gridCol w:w="9936"/>
      </w:tblGrid>
      <w:tr w:rsidR="000476F4" w14:paraId="28E41F5A" w14:textId="77777777">
        <w:tc>
          <w:tcPr>
            <w:tcW w:w="9936" w:type="dxa"/>
            <w:shd w:val="clear" w:color="auto" w:fill="FBFAF7"/>
          </w:tcPr>
          <w:p w14:paraId="40A8DAF1" w14:textId="2ECD3144" w:rsidR="000476F4" w:rsidRDefault="00711590">
            <w:pPr>
              <w:spacing w:after="40"/>
            </w:pPr>
            <w:r>
              <w:t>N</w:t>
            </w:r>
            <w:r w:rsidR="001A5E6E">
              <w:t>ot Applicable</w:t>
            </w:r>
          </w:p>
        </w:tc>
      </w:tr>
    </w:tbl>
    <w:p w14:paraId="52938454" w14:textId="77777777" w:rsidR="000476F4" w:rsidRDefault="000476F4">
      <w:pPr>
        <w:spacing w:after="40"/>
      </w:pPr>
    </w:p>
    <w:p w14:paraId="0048730B" w14:textId="77777777" w:rsidR="000476F4" w:rsidRDefault="000476F4">
      <w:pPr>
        <w:spacing w:after="160"/>
      </w:pPr>
    </w:p>
    <w:sectPr w:rsidR="000476F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5162502">
    <w:abstractNumId w:val="8"/>
  </w:num>
  <w:num w:numId="2" w16cid:durableId="1848909631">
    <w:abstractNumId w:val="6"/>
  </w:num>
  <w:num w:numId="3" w16cid:durableId="59332813">
    <w:abstractNumId w:val="5"/>
  </w:num>
  <w:num w:numId="4" w16cid:durableId="1087072604">
    <w:abstractNumId w:val="4"/>
  </w:num>
  <w:num w:numId="5" w16cid:durableId="534269084">
    <w:abstractNumId w:val="7"/>
  </w:num>
  <w:num w:numId="6" w16cid:durableId="1474642493">
    <w:abstractNumId w:val="3"/>
  </w:num>
  <w:num w:numId="7" w16cid:durableId="204607013">
    <w:abstractNumId w:val="2"/>
  </w:num>
  <w:num w:numId="8" w16cid:durableId="1993631510">
    <w:abstractNumId w:val="1"/>
  </w:num>
  <w:num w:numId="9" w16cid:durableId="807208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09"/>
    <w:rsid w:val="0002318B"/>
    <w:rsid w:val="00034616"/>
    <w:rsid w:val="000476F4"/>
    <w:rsid w:val="00054C1B"/>
    <w:rsid w:val="0006063C"/>
    <w:rsid w:val="000F68C0"/>
    <w:rsid w:val="0015074B"/>
    <w:rsid w:val="001A5E6E"/>
    <w:rsid w:val="00210A00"/>
    <w:rsid w:val="00216E72"/>
    <w:rsid w:val="00232E3D"/>
    <w:rsid w:val="0029639D"/>
    <w:rsid w:val="002E6504"/>
    <w:rsid w:val="00326F90"/>
    <w:rsid w:val="00336A08"/>
    <w:rsid w:val="003654F3"/>
    <w:rsid w:val="00374B00"/>
    <w:rsid w:val="003854D4"/>
    <w:rsid w:val="003A2573"/>
    <w:rsid w:val="003B3BB5"/>
    <w:rsid w:val="0040064C"/>
    <w:rsid w:val="00480C2A"/>
    <w:rsid w:val="004969DF"/>
    <w:rsid w:val="00522AC9"/>
    <w:rsid w:val="00601C61"/>
    <w:rsid w:val="00673F65"/>
    <w:rsid w:val="006872EA"/>
    <w:rsid w:val="006A215D"/>
    <w:rsid w:val="00711590"/>
    <w:rsid w:val="0075290B"/>
    <w:rsid w:val="00847EB5"/>
    <w:rsid w:val="00914917"/>
    <w:rsid w:val="00990C1A"/>
    <w:rsid w:val="009C5028"/>
    <w:rsid w:val="00A1683F"/>
    <w:rsid w:val="00A25C5F"/>
    <w:rsid w:val="00A560F6"/>
    <w:rsid w:val="00A6556B"/>
    <w:rsid w:val="00AA1D8D"/>
    <w:rsid w:val="00AB635B"/>
    <w:rsid w:val="00AE329C"/>
    <w:rsid w:val="00B47730"/>
    <w:rsid w:val="00C37E0A"/>
    <w:rsid w:val="00CB000B"/>
    <w:rsid w:val="00CB0664"/>
    <w:rsid w:val="00CF22A5"/>
    <w:rsid w:val="00D22B54"/>
    <w:rsid w:val="00D30C5A"/>
    <w:rsid w:val="00D92D91"/>
    <w:rsid w:val="00DE3D7F"/>
    <w:rsid w:val="00E90A4E"/>
    <w:rsid w:val="00F34719"/>
    <w:rsid w:val="00F73DE4"/>
    <w:rsid w:val="00FC693F"/>
    <w:rsid w:val="00FF0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46C1295-628D-4E96-B514-D6C4EAFB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1990</Words>
  <Characters>10789</Characters>
  <Application>Microsoft Office Word</Application>
  <DocSecurity>0</DocSecurity>
  <Lines>299</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Balamurugan Natarajan(UST,IN)</cp:lastModifiedBy>
  <cp:revision>42</cp:revision>
  <dcterms:created xsi:type="dcterms:W3CDTF">2013-12-23T23:15:00Z</dcterms:created>
  <dcterms:modified xsi:type="dcterms:W3CDTF">2026-10-30T05:07:00Z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2026-10-30T03:52:41Z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dfb8b6d5-a287-4c11-99e9-74c8724dbed1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