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libri" w:hAnsi="Calibri"/>
          <w:b/>
          <w:i w:val="0"/>
          <w:color w:val="1B65F5"/>
          <w:sz w:val="18"/>
        </w:rPr>
        <w:t>AI SOLUTION ARCHITECT  |  WEEK 1  |  GUIDED LAB, PART 2</w:t>
      </w:r>
    </w:p>
    <w:p>
      <w:pPr>
        <w:spacing w:after="40"/>
      </w:pPr>
      <w:r>
        <w:rPr>
          <w:rFonts w:ascii="Calibri" w:hAnsi="Calibri"/>
          <w:b/>
          <w:i w:val="0"/>
          <w:color w:val="14213D"/>
          <w:sz w:val="40"/>
        </w:rPr>
        <w:t>Breakout 2 of 2: Take a position, and price it.</w:t>
      </w:r>
    </w:p>
    <w:p>
      <w:pPr>
        <w:spacing w:after="160"/>
      </w:pPr>
      <w:r>
        <w:rPr>
          <w:rFonts w:ascii="Calibri" w:hAnsi="Calibri"/>
          <w:b w:val="0"/>
          <w:i w:val="0"/>
          <w:color w:val="6B7285"/>
          <w:sz w:val="23"/>
        </w:rPr>
        <w:t>The trade-off, two testable guarantees, the platform justification, and the named pattern.</w:t>
      </w:r>
    </w:p>
    <w:p>
      <w:pPr>
        <w:spacing w:after="200"/>
      </w:pPr>
      <w:r>
        <w:rPr>
          <w:rFonts w:ascii="Calibri" w:hAnsi="Calibri"/>
          <w:b/>
          <w:i w:val="0"/>
          <w:color w:val="E5533D"/>
          <w:sz w:val="20"/>
        </w:rPr>
        <w:t>Read this before class. Scenario: Redpoint Field Services. 35 minutes. Not collected.</w:t>
      </w:r>
    </w:p>
    <w:p>
      <w:pPr>
        <w:spacing w:before="200" w:after="80"/>
      </w:pPr>
      <w:r>
        <w:rPr>
          <w:rFonts w:ascii="Calibri" w:hAnsi="Calibri"/>
          <w:b/>
          <w:color w:val="14213D"/>
          <w:sz w:val="26"/>
        </w:rPr>
        <w:t>What is the scenario?</w:t>
      </w:r>
    </w:p>
    <w:p>
      <w:pPr>
        <w:spacing w:after="80"/>
      </w:pPr>
      <w:r>
        <w:rPr>
          <w:rFonts w:ascii="Calibri" w:hAnsi="Calibri"/>
          <w:b w:val="0"/>
          <w:i w:val="0"/>
          <w:color w:val="14213D"/>
          <w:sz w:val="21"/>
        </w:rPr>
        <w:t>The same Redpoint Field Services pack, and the same pod. Nothing new is handed out.</w:t>
      </w:r>
    </w:p>
    <w:p>
      <w:pPr>
        <w:spacing w:after="120"/>
      </w:pPr>
      <w:r>
        <w:rPr>
          <w:rFonts w:ascii="Calibri" w:hAnsi="Calibri"/>
          <w:b w:val="0"/>
          <w:i w:val="0"/>
          <w:color w:val="6B7285"/>
          <w:sz w:val="20"/>
        </w:rPr>
        <w:t>What changes is permission. In breakout 1 you were not allowed to name a technology. Now you may. You are deciding what you would actually build, and then defending it.</w:t>
      </w:r>
    </w:p>
    <w:p>
      <w:pPr>
        <w:spacing w:after="200"/>
      </w:pPr>
      <w:r>
        <w:rPr>
          <w:rFonts w:ascii="Calibri" w:hAnsi="Calibri"/>
          <w:b/>
          <w:i w:val="0"/>
          <w:color w:val="E5533D"/>
          <w:sz w:val="20"/>
        </w:rPr>
        <w:t>You build on the problem statement your pod wrote in breakout 1. If that statement was weak, fix it first. A trade-off defended against a vague problem is not defensible.</w:t>
      </w:r>
    </w:p>
    <w:p>
      <w:pPr>
        <w:spacing w:before="200" w:after="80"/>
      </w:pPr>
      <w:r>
        <w:rPr>
          <w:rFonts w:ascii="Calibri" w:hAnsi="Calibri"/>
          <w:b/>
          <w:color w:val="14213D"/>
          <w:sz w:val="26"/>
        </w:rPr>
        <w:t>What is expected of you?</w:t>
      </w:r>
    </w:p>
    <w:tbl>
      <w:tblPr>
        <w:tblStyle w:val="TableGrid"/>
        <w:tblW w:type="auto" w:w="0"/>
        <w:tblLook w:firstColumn="1" w:firstRow="1" w:lastColumn="0" w:lastRow="0" w:noHBand="0" w:noVBand="1" w:val="04A0"/>
      </w:tblPr>
      <w:tblGrid>
        <w:gridCol w:w="4968"/>
        <w:gridCol w:w="4968"/>
      </w:tblGrid>
      <w:tr>
        <w:tc>
          <w:tcPr>
            <w:tcW w:type="dxa" w:w="3600"/>
            <w:shd w:val="clear" w:fill="EFEDE6"/>
          </w:tcPr>
          <w:p>
            <w:r/>
            <w:r>
              <w:rPr>
                <w:b/>
                <w:color w:val="14213D"/>
                <w:sz w:val="19"/>
              </w:rPr>
              <w:t>Produce</w:t>
            </w:r>
          </w:p>
        </w:tc>
        <w:tc>
          <w:tcPr>
            <w:tcW w:type="dxa" w:w="6192"/>
            <w:shd w:val="clear" w:fill="EFEDE6"/>
          </w:tcPr>
          <w:p>
            <w:r/>
            <w:r>
              <w:rPr>
                <w:b/>
                <w:color w:val="14213D"/>
                <w:sz w:val="19"/>
              </w:rPr>
              <w:t>What it means</w:t>
            </w:r>
          </w:p>
        </w:tc>
      </w:tr>
      <w:tr>
        <w:tc>
          <w:tcPr>
            <w:tcW w:type="dxa" w:w="3600"/>
          </w:tcPr>
          <w:p>
            <w:pPr>
              <w:spacing w:after="40"/>
            </w:pPr>
            <w:r/>
            <w:r>
              <w:rPr>
                <w:b/>
                <w:sz w:val="20"/>
              </w:rPr>
              <w:t>1. One trade-off</w:t>
            </w:r>
          </w:p>
        </w:tc>
        <w:tc>
          <w:tcPr>
            <w:tcW w:type="dxa" w:w="6192"/>
          </w:tcPr>
          <w:p>
            <w:pPr>
              <w:spacing w:after="40"/>
            </w:pPr>
            <w:r/>
            <w:r>
              <w:rPr>
                <w:b w:val="0"/>
                <w:sz w:val="20"/>
              </w:rPr>
              <w:t>What you chose, what you chose it over, the requirement that decided it, what you gave up, and the named role who would argue with you.</w:t>
            </w:r>
          </w:p>
        </w:tc>
      </w:tr>
      <w:tr>
        <w:tc>
          <w:tcPr>
            <w:tcW w:type="dxa" w:w="3600"/>
          </w:tcPr>
          <w:p>
            <w:pPr>
              <w:spacing w:after="40"/>
            </w:pPr>
            <w:r/>
            <w:r>
              <w:rPr>
                <w:b/>
                <w:sz w:val="20"/>
              </w:rPr>
              <w:t>2. Two guarantees</w:t>
            </w:r>
          </w:p>
        </w:tc>
        <w:tc>
          <w:tcPr>
            <w:tcW w:type="dxa" w:w="6192"/>
          </w:tcPr>
          <w:p>
            <w:pPr>
              <w:spacing w:after="40"/>
            </w:pPr>
            <w:r/>
            <w:r>
              <w:rPr>
                <w:b w:val="0"/>
                <w:sz w:val="20"/>
              </w:rPr>
              <w:t>Each one needs four parts: the metric, a threshold with an actual digit in it, which system or report produces the number, and what happens plus who acts when it is missed.</w:t>
            </w:r>
          </w:p>
        </w:tc>
      </w:tr>
      <w:tr>
        <w:tc>
          <w:tcPr>
            <w:tcW w:type="dxa" w:w="3600"/>
          </w:tcPr>
          <w:p>
            <w:pPr>
              <w:spacing w:after="40"/>
            </w:pPr>
            <w:r/>
            <w:r>
              <w:rPr>
                <w:b/>
                <w:sz w:val="20"/>
              </w:rPr>
              <w:t>3. Two real options</w:t>
            </w:r>
          </w:p>
        </w:tc>
        <w:tc>
          <w:tcPr>
            <w:tcW w:type="dxa" w:w="6192"/>
          </w:tcPr>
          <w:p>
            <w:pPr>
              <w:spacing w:after="40"/>
            </w:pPr>
            <w:r/>
            <w:r>
              <w:rPr>
                <w:b w:val="0"/>
                <w:sz w:val="20"/>
              </w:rPr>
              <w:t>Two genuinely different approaches, the one you chose, the requirement of this task that decided it, and what would have to change for the other to win.</w:t>
            </w:r>
          </w:p>
        </w:tc>
      </w:tr>
      <w:tr>
        <w:tc>
          <w:tcPr>
            <w:tcW w:type="dxa" w:w="3600"/>
          </w:tcPr>
          <w:p>
            <w:pPr>
              <w:spacing w:after="40"/>
            </w:pPr>
            <w:r/>
            <w:r>
              <w:rPr>
                <w:b/>
                <w:sz w:val="20"/>
              </w:rPr>
              <w:t>4. The named pattern</w:t>
            </w:r>
          </w:p>
        </w:tc>
        <w:tc>
          <w:tcPr>
            <w:tcW w:type="dxa" w:w="6192"/>
          </w:tcPr>
          <w:p>
            <w:pPr>
              <w:spacing w:after="40"/>
            </w:pPr>
            <w:r/>
            <w:r>
              <w:rPr>
                <w:b w:val="0"/>
                <w:sz w:val="20"/>
              </w:rPr>
              <w:t>The proper name of the pattern this is an instance of, one other Redpoint capability it would serve, and what would have to be true to reuse it there.</w:t>
            </w:r>
          </w:p>
        </w:tc>
      </w:tr>
    </w:tbl>
    <w:p>
      <w:pPr>
        <w:spacing w:after="80"/>
      </w:pPr>
    </w:p>
    <w:p>
      <w:pPr>
        <w:spacing w:before="200" w:after="80"/>
      </w:pPr>
      <w:r>
        <w:rPr>
          <w:rFonts w:ascii="Calibri" w:hAnsi="Calibri"/>
          <w:b/>
          <w:color w:val="14213D"/>
          <w:sz w:val="26"/>
        </w:rPr>
        <w:t>What does good look like?</w:t>
      </w:r>
    </w:p>
    <w:tbl>
      <w:tblPr>
        <w:tblStyle w:val="TableGrid"/>
        <w:tblW w:type="auto" w:w="0"/>
        <w:tblLook w:firstColumn="1" w:firstRow="1" w:lastColumn="0" w:lastRow="0" w:noHBand="0" w:noVBand="1" w:val="04A0"/>
      </w:tblPr>
      <w:tblGrid>
        <w:gridCol w:w="4968"/>
        <w:gridCol w:w="4968"/>
      </w:tblGrid>
      <w:tr>
        <w:tc>
          <w:tcPr>
            <w:tcW w:type="dxa" w:w="3600"/>
            <w:shd w:val="clear" w:fill="EFEDE6"/>
          </w:tcPr>
          <w:p>
            <w:r/>
            <w:r>
              <w:rPr>
                <w:b/>
                <w:color w:val="14213D"/>
                <w:sz w:val="19"/>
              </w:rPr>
              <w:t>Line</w:t>
            </w:r>
          </w:p>
        </w:tc>
        <w:tc>
          <w:tcPr>
            <w:tcW w:type="dxa" w:w="6192"/>
            <w:shd w:val="clear" w:fill="EFEDE6"/>
          </w:tcPr>
          <w:p>
            <w:r/>
            <w:r>
              <w:rPr>
                <w:b/>
                <w:color w:val="14213D"/>
                <w:sz w:val="19"/>
              </w:rPr>
              <w:t>A top-band answer</w:t>
            </w:r>
          </w:p>
        </w:tc>
      </w:tr>
      <w:tr>
        <w:tc>
          <w:tcPr>
            <w:tcW w:type="dxa" w:w="3600"/>
          </w:tcPr>
          <w:p>
            <w:pPr>
              <w:spacing w:after="40"/>
            </w:pPr>
            <w:r/>
            <w:r>
              <w:rPr>
                <w:b/>
                <w:sz w:val="20"/>
              </w:rPr>
              <w:t>Trade-off</w:t>
            </w:r>
          </w:p>
        </w:tc>
        <w:tc>
          <w:tcPr>
            <w:tcW w:type="dxa" w:w="6192"/>
          </w:tcPr>
          <w:p>
            <w:pPr>
              <w:spacing w:after="40"/>
            </w:pPr>
            <w:r/>
            <w:r>
              <w:rPr>
                <w:b w:val="0"/>
                <w:sz w:val="20"/>
              </w:rPr>
              <w:t>“We chose to fix the parts data before deploying anything, over deploying a scheduling optimiser first. The requirement: optimisation needs complete state, and 22% of parts records have no model compatibility. What we gave up: two quarters with nothing visible. Who disagrees: the COO, because competitors are shipping now.”</w:t>
            </w:r>
          </w:p>
        </w:tc>
      </w:tr>
      <w:tr>
        <w:tc>
          <w:tcPr>
            <w:tcW w:type="dxa" w:w="3600"/>
          </w:tcPr>
          <w:p>
            <w:pPr>
              <w:spacing w:after="40"/>
            </w:pPr>
            <w:r/>
            <w:r>
              <w:rPr>
                <w:b/>
                <w:sz w:val="20"/>
              </w:rPr>
              <w:t>Guarantee</w:t>
            </w:r>
          </w:p>
        </w:tc>
        <w:tc>
          <w:tcPr>
            <w:tcW w:type="dxa" w:w="6192"/>
          </w:tcPr>
          <w:p>
            <w:pPr>
              <w:spacing w:after="40"/>
            </w:pPr>
            <w:r/>
            <w:r>
              <w:rPr>
                <w:b w:val="0"/>
                <w:sz w:val="20"/>
              </w:rPr>
              <w:t>“Parts records carrying verified model compatibility reach 95% of active SKUs within two quarters, measured by the monthly completeness report from the parts master. If it is missed at quarter end, the Parts and Inventory Manager escalates to the Data Governance Board before further spend.”</w:t>
            </w:r>
          </w:p>
        </w:tc>
      </w:tr>
      <w:tr>
        <w:tc>
          <w:tcPr>
            <w:tcW w:type="dxa" w:w="3600"/>
          </w:tcPr>
          <w:p>
            <w:pPr>
              <w:spacing w:after="40"/>
            </w:pPr>
            <w:r/>
            <w:r>
              <w:rPr>
                <w:b/>
                <w:sz w:val="20"/>
              </w:rPr>
              <w:t>Options and the decider</w:t>
            </w:r>
          </w:p>
        </w:tc>
        <w:tc>
          <w:tcPr>
            <w:tcW w:type="dxa" w:w="6192"/>
          </w:tcPr>
          <w:p>
            <w:pPr>
              <w:spacing w:after="40"/>
            </w:pPr>
            <w:r/>
            <w:r>
              <w:rPr>
                <w:b w:val="0"/>
                <w:sz w:val="20"/>
              </w:rPr>
              <w:t>“A: rules-based parts recommendation on existing master data. B: learned recommendation from historical job outcomes. We chose A, because allocation decisions can be challenged under the union agreement, so every recommendation must trace to a named rule. Renegotiate that agreement and B wins on accuracy.”</w:t>
            </w:r>
          </w:p>
        </w:tc>
      </w:tr>
      <w:tr>
        <w:tc>
          <w:tcPr>
            <w:tcW w:type="dxa" w:w="3600"/>
          </w:tcPr>
          <w:p>
            <w:pPr>
              <w:spacing w:after="40"/>
            </w:pPr>
            <w:r/>
            <w:r>
              <w:rPr>
                <w:b/>
                <w:sz w:val="20"/>
              </w:rPr>
              <w:t>Named pattern</w:t>
            </w:r>
          </w:p>
        </w:tc>
        <w:tc>
          <w:tcPr>
            <w:tcW w:type="dxa" w:w="6192"/>
          </w:tcPr>
          <w:p>
            <w:pPr>
              <w:spacing w:after="40"/>
            </w:pPr>
            <w:r/>
            <w:r>
              <w:rPr>
                <w:b w:val="0"/>
                <w:sz w:val="20"/>
              </w:rPr>
              <w:t>“Master data remediation before decision automation. It also serves Onboard a New Site, which runs on a manual asset register. To reuse it there, the asset register would need the same compatibility fields the parts master now carries.”</w:t>
            </w:r>
          </w:p>
        </w:tc>
      </w:tr>
    </w:tbl>
    <w:p>
      <w:pPr>
        <w:spacing w:after="80"/>
      </w:pPr>
    </w:p>
    <w:p>
      <w:pPr>
        <w:spacing w:before="200" w:after="80"/>
      </w:pPr>
      <w:r>
        <w:rPr>
          <w:rFonts w:ascii="Calibri" w:hAnsi="Calibri"/>
          <w:b/>
          <w:color w:val="14213D"/>
          <w:sz w:val="26"/>
        </w:rPr>
        <w:t>What to avoid</w:t>
      </w:r>
    </w:p>
    <w:tbl>
      <w:tblPr>
        <w:tblStyle w:val="TableGrid"/>
        <w:tblW w:type="auto" w:w="0"/>
        <w:tblLook w:firstColumn="1" w:firstRow="1" w:lastColumn="0" w:lastRow="0" w:noHBand="0" w:noVBand="1" w:val="04A0"/>
      </w:tblPr>
      <w:tblGrid>
        <w:gridCol w:w="4968"/>
        <w:gridCol w:w="4968"/>
      </w:tblGrid>
      <w:tr>
        <w:tc>
          <w:tcPr>
            <w:tcW w:type="dxa" w:w="3600"/>
            <w:shd w:val="clear" w:fill="EFEDE6"/>
          </w:tcPr>
          <w:p>
            <w:r/>
            <w:r>
              <w:rPr>
                <w:b/>
                <w:color w:val="14213D"/>
                <w:sz w:val="19"/>
              </w:rPr>
              <w:t>Trap</w:t>
            </w:r>
          </w:p>
        </w:tc>
        <w:tc>
          <w:tcPr>
            <w:tcW w:type="dxa" w:w="6192"/>
            <w:shd w:val="clear" w:fill="EFEDE6"/>
          </w:tcPr>
          <w:p>
            <w:r/>
            <w:r>
              <w:rPr>
                <w:b/>
                <w:color w:val="14213D"/>
                <w:sz w:val="19"/>
              </w:rPr>
              <w:t>Why it costs you</w:t>
            </w:r>
          </w:p>
        </w:tc>
      </w:tr>
      <w:tr>
        <w:tc>
          <w:tcPr>
            <w:tcW w:type="dxa" w:w="3600"/>
          </w:tcPr>
          <w:p>
            <w:pPr>
              <w:spacing w:after="40"/>
            </w:pPr>
            <w:r/>
            <w:r>
              <w:rPr>
                <w:b/>
                <w:sz w:val="20"/>
              </w:rPr>
              <w:t>A choice that cost nothing</w:t>
            </w:r>
          </w:p>
        </w:tc>
        <w:tc>
          <w:tcPr>
            <w:tcW w:type="dxa" w:w="6192"/>
          </w:tcPr>
          <w:p>
            <w:pPr>
              <w:spacing w:after="40"/>
            </w:pPr>
            <w:r/>
            <w:r>
              <w:rPr>
                <w:b w:val="0"/>
                <w:sz w:val="20"/>
              </w:rPr>
              <w:t>If every clause names a gain, no decision was made. “No downside” scores zero, not a low mark.</w:t>
            </w:r>
          </w:p>
        </w:tc>
      </w:tr>
      <w:tr>
        <w:tc>
          <w:tcPr>
            <w:tcW w:type="dxa" w:w="3600"/>
          </w:tcPr>
          <w:p>
            <w:pPr>
              <w:spacing w:after="40"/>
            </w:pPr>
            <w:r/>
            <w:r>
              <w:rPr>
                <w:b/>
                <w:sz w:val="20"/>
              </w:rPr>
              <w:t>A threshold with no digit</w:t>
            </w:r>
          </w:p>
        </w:tc>
        <w:tc>
          <w:tcPr>
            <w:tcW w:type="dxa" w:w="6192"/>
          </w:tcPr>
          <w:p>
            <w:pPr>
              <w:spacing w:after="40"/>
            </w:pPr>
            <w:r/>
            <w:r>
              <w:rPr>
                <w:b w:val="0"/>
                <w:sz w:val="20"/>
              </w:rPr>
              <w:t>“Significantly improved” and “as fast as possible” are not thresholds. The number can be borrowed from the pack; it just has to exist.</w:t>
            </w:r>
          </w:p>
        </w:tc>
      </w:tr>
      <w:tr>
        <w:tc>
          <w:tcPr>
            <w:tcW w:type="dxa" w:w="3600"/>
          </w:tcPr>
          <w:p>
            <w:pPr>
              <w:spacing w:after="40"/>
            </w:pPr>
            <w:r/>
            <w:r>
              <w:rPr>
                <w:b/>
                <w:sz w:val="20"/>
              </w:rPr>
              <w:t>A guarantee with no breach clause</w:t>
            </w:r>
          </w:p>
        </w:tc>
        <w:tc>
          <w:tcPr>
            <w:tcW w:type="dxa" w:w="6192"/>
          </w:tcPr>
          <w:p>
            <w:pPr>
              <w:spacing w:after="40"/>
            </w:pPr>
            <w:r/>
            <w:r>
              <w:rPr>
                <w:b w:val="0"/>
                <w:sz w:val="20"/>
              </w:rPr>
              <w:t>If nothing happens when the number is missed, nobody owns the number and it reads as an assertion.</w:t>
            </w:r>
          </w:p>
        </w:tc>
      </w:tr>
      <w:tr>
        <w:tc>
          <w:tcPr>
            <w:tcW w:type="dxa" w:w="3600"/>
          </w:tcPr>
          <w:p>
            <w:pPr>
              <w:spacing w:after="40"/>
            </w:pPr>
            <w:r/>
            <w:r>
              <w:rPr>
                <w:b/>
                <w:sz w:val="20"/>
              </w:rPr>
              <w:t>Picking the platform you already use</w:t>
            </w:r>
          </w:p>
        </w:tc>
        <w:tc>
          <w:tcPr>
            <w:tcW w:type="dxa" w:w="6192"/>
          </w:tcPr>
          <w:p>
            <w:pPr>
              <w:spacing w:after="40"/>
            </w:pPr>
            <w:r/>
            <w:r>
              <w:rPr>
                <w:b w:val="0"/>
                <w:sz w:val="20"/>
              </w:rPr>
              <w:t>Familiarity as the deciding reason is the 25 band, word for word. Name the requirement instead.</w:t>
            </w:r>
          </w:p>
        </w:tc>
      </w:tr>
      <w:tr>
        <w:tc>
          <w:tcPr>
            <w:tcW w:type="dxa" w:w="3600"/>
          </w:tcPr>
          <w:p>
            <w:pPr>
              <w:spacing w:after="40"/>
            </w:pPr>
            <w:r/>
            <w:r>
              <w:rPr>
                <w:b/>
                <w:sz w:val="20"/>
              </w:rPr>
              <w:t>Nothing would flip your choice</w:t>
            </w:r>
          </w:p>
        </w:tc>
        <w:tc>
          <w:tcPr>
            <w:tcW w:type="dxa" w:w="6192"/>
          </w:tcPr>
          <w:p>
            <w:pPr>
              <w:spacing w:after="40"/>
            </w:pPr>
            <w:r/>
            <w:r>
              <w:rPr>
                <w:b w:val="0"/>
                <w:sz w:val="20"/>
              </w:rPr>
              <w:t>Then you justified one option rather than evaluating two.</w:t>
            </w:r>
          </w:p>
        </w:tc>
      </w:tr>
      <w:tr>
        <w:tc>
          <w:tcPr>
            <w:tcW w:type="dxa" w:w="3600"/>
          </w:tcPr>
          <w:p>
            <w:pPr>
              <w:spacing w:after="40"/>
            </w:pPr>
            <w:r/>
            <w:r>
              <w:rPr>
                <w:b/>
                <w:sz w:val="20"/>
              </w:rPr>
              <w:t>“Reusable”, “scalable”, “extensible”</w:t>
            </w:r>
          </w:p>
        </w:tc>
        <w:tc>
          <w:tcPr>
            <w:tcW w:type="dxa" w:w="6192"/>
          </w:tcPr>
          <w:p>
            <w:pPr>
              <w:spacing w:after="40"/>
            </w:pPr>
            <w:r/>
            <w:r>
              <w:rPr>
                <w:b w:val="0"/>
                <w:sz w:val="20"/>
              </w:rPr>
              <w:t>Adjectives, not patterns. All three score 50 on their own. A pattern has a name you could look up.</w:t>
            </w:r>
          </w:p>
        </w:tc>
      </w:tr>
      <w:tr>
        <w:tc>
          <w:tcPr>
            <w:tcW w:type="dxa" w:w="3600"/>
          </w:tcPr>
          <w:p>
            <w:pPr>
              <w:spacing w:after="40"/>
            </w:pPr>
            <w:r/>
            <w:r>
              <w:rPr>
                <w:b/>
                <w:sz w:val="20"/>
              </w:rPr>
              <w:t>A precondition that excludes nothing</w:t>
            </w:r>
          </w:p>
        </w:tc>
        <w:tc>
          <w:tcPr>
            <w:tcW w:type="dxa" w:w="6192"/>
          </w:tcPr>
          <w:p>
            <w:pPr>
              <w:spacing w:after="40"/>
            </w:pPr>
            <w:r/>
            <w:r>
              <w:rPr>
                <w:b w:val="0"/>
                <w:sz w:val="20"/>
              </w:rPr>
              <w:t>“With minor changes it could apply elsewhere” is decoration. A real precondition rules something out.</w:t>
            </w:r>
          </w:p>
        </w:tc>
      </w:tr>
    </w:tbl>
    <w:p>
      <w:pPr>
        <w:spacing w:after="80"/>
      </w:pPr>
    </w:p>
    <w:p>
      <w:r>
        <w:br w:type="page"/>
      </w:r>
    </w:p>
    <w:p>
      <w:pPr>
        <w:spacing w:before="0" w:after="80"/>
      </w:pPr>
      <w:r>
        <w:rPr>
          <w:rFonts w:ascii="Calibri" w:hAnsi="Calibri"/>
          <w:b/>
          <w:color w:val="14213D"/>
          <w:sz w:val="26"/>
        </w:rPr>
        <w:t>What the two-minute report should sound like</w:t>
      </w:r>
    </w:p>
    <w:p>
      <w:pPr>
        <w:spacing w:after="120"/>
      </w:pPr>
      <w:r>
        <w:rPr>
          <w:rFonts w:ascii="Calibri" w:hAnsi="Calibri"/>
          <w:b w:val="0"/>
          <w:i w:val="0"/>
          <w:color w:val="6B7285"/>
          <w:sz w:val="20"/>
        </w:rPr>
        <w:t>One person. Two minutes. Lead with what you gave up, not with what you gained.</w:t>
      </w:r>
    </w:p>
    <w:tbl>
      <w:tblPr>
        <w:tblStyle w:val="TableGrid"/>
        <w:tblW w:type="auto" w:w="0"/>
        <w:tblLook w:firstColumn="1" w:firstRow="1" w:lastColumn="0" w:lastRow="0" w:noHBand="0" w:noVBand="1" w:val="04A0"/>
      </w:tblPr>
      <w:tblGrid>
        <w:gridCol w:w="9936"/>
      </w:tblGrid>
      <w:tr>
        <w:tc>
          <w:tcPr>
            <w:tcW w:type="dxa" w:w="9936"/>
            <w:shd w:val="clear" w:fill="F2F6FF"/>
          </w:tcPr>
          <w:p>
            <w:pPr>
              <w:spacing w:after="80"/>
            </w:pPr>
            <w:r/>
            <w:r>
              <w:rPr>
                <w:i/>
                <w:sz w:val="20"/>
              </w:rPr>
              <w:t>“We chose to fix the parts data first, over deploying the optimiser. It costs us two quarters with nothing visible, and the COO will ask why competitors shipped first.</w:t>
            </w:r>
          </w:p>
          <w:p>
            <w:pPr>
              <w:spacing w:after="80"/>
            </w:pPr>
            <w:r>
              <w:rPr>
                <w:i/>
                <w:sz w:val="20"/>
              </w:rPr>
              <w:t>We took it because optimising dispatch on 22% incomplete records produces confident wrong answers.</w:t>
            </w:r>
          </w:p>
          <w:p>
            <w:pPr>
              <w:spacing w:after="80"/>
            </w:pPr>
            <w:r>
              <w:rPr>
                <w:i/>
                <w:sz w:val="20"/>
              </w:rPr>
              <w:t>Our guarantee: 95% of active SKUs carry verified model compatibility within two quarters, from the monthly completeness report, and the Parts and Inventory Manager escalates to the Data Governance Board if it slips.</w:t>
            </w:r>
          </w:p>
          <w:p>
            <w:pPr>
              <w:spacing w:after="80"/>
            </w:pPr>
            <w:r>
              <w:rPr>
                <w:i/>
                <w:sz w:val="20"/>
              </w:rPr>
              <w:t>The pattern is master data remediation before decision automation, and it also serves Onboard a New Site, once the asset register carries the same fields.”</w:t>
            </w:r>
          </w:p>
        </w:tc>
      </w:tr>
    </w:tbl>
    <w:p>
      <w:pPr>
        <w:spacing w:after="120"/>
      </w:pPr>
    </w:p>
    <w:p>
      <w:pPr>
        <w:spacing w:before="200" w:after="80"/>
      </w:pPr>
      <w:r>
        <w:rPr>
          <w:rFonts w:ascii="Calibri" w:hAnsi="Calibri"/>
          <w:b/>
          <w:color w:val="14213D"/>
          <w:sz w:val="26"/>
        </w:rPr>
        <w:t>Your answers</w:t>
      </w:r>
    </w:p>
    <w:p>
      <w:pPr>
        <w:spacing w:after="120"/>
      </w:pPr>
      <w:r>
        <w:rPr>
          <w:rFonts w:ascii="Calibri" w:hAnsi="Calibri"/>
          <w:b w:val="0"/>
          <w:i w:val="0"/>
          <w:color w:val="6B7285"/>
          <w:sz w:val="20"/>
        </w:rPr>
        <w:t>Write here during the breakout. These become sections 6 to 9 of your Halden document tonight.</w:t>
      </w:r>
    </w:p>
    <w:p>
      <w:pPr>
        <w:spacing w:after="60"/>
      </w:pPr>
      <w:r>
        <w:rPr>
          <w:rFonts w:ascii="Calibri" w:hAnsi="Calibri"/>
          <w:b/>
          <w:i w:val="0"/>
          <w:color w:val="14213D"/>
          <w:sz w:val="22"/>
        </w:rPr>
        <w:t>1. The trade-off</w:t>
      </w:r>
    </w:p>
    <w:p>
      <w:pPr>
        <w:spacing w:after="40"/>
      </w:pPr>
      <w:r>
        <w:rPr>
          <w:rFonts w:ascii="Calibri" w:hAnsi="Calibri"/>
          <w:b/>
          <w:i w:val="0"/>
          <w:color w:val="6B7285"/>
          <w:sz w:val="19"/>
        </w:rPr>
        <w:t>We chose</w:t>
      </w:r>
    </w:p>
    <w:tbl>
      <w:tblPr>
        <w:tblStyle w:val="TableGrid"/>
        <w:tblW w:type="auto" w:w="0"/>
        <w:jc w:val="left"/>
        <w:tblLook w:firstColumn="1" w:firstRow="1" w:lastColumn="0" w:lastRow="0" w:noHBand="0" w:noVBand="1" w:val="04A0"/>
      </w:tblPr>
      <w:tblGrid>
        <w:gridCol w:w="9936"/>
      </w:tblGrid>
      <w:tr>
        <w:tc>
          <w:tcPr>
            <w:tcW w:type="dxa" w:w="9936"/>
            <w:shd w:val="clear" w:fill="FBFAF7"/>
          </w:tcPr>
          <w:p>
            <w:pPr>
              <w:spacing w:after="60"/>
            </w:pPr>
            <w:r/>
            <w:r>
              <w:rPr>
                <w:sz w:val="21"/>
              </w:rPr>
            </w:r>
          </w:p>
        </w:tc>
      </w:tr>
    </w:tbl>
    <w:p>
      <w:pPr>
        <w:spacing w:after="60"/>
      </w:pPr>
    </w:p>
    <w:p>
      <w:pPr>
        <w:spacing w:after="40"/>
      </w:pPr>
      <w:r>
        <w:rPr>
          <w:rFonts w:ascii="Calibri" w:hAnsi="Calibri"/>
          <w:b/>
          <w:i w:val="0"/>
          <w:color w:val="6B7285"/>
          <w:sz w:val="19"/>
        </w:rPr>
        <w:t>Over</w:t>
      </w:r>
    </w:p>
    <w:tbl>
      <w:tblPr>
        <w:tblStyle w:val="TableGrid"/>
        <w:tblW w:type="auto" w:w="0"/>
        <w:jc w:val="left"/>
        <w:tblLook w:firstColumn="1" w:firstRow="1" w:lastColumn="0" w:lastRow="0" w:noHBand="0" w:noVBand="1" w:val="04A0"/>
      </w:tblPr>
      <w:tblGrid>
        <w:gridCol w:w="9936"/>
      </w:tblGrid>
      <w:tr>
        <w:tc>
          <w:tcPr>
            <w:tcW w:type="dxa" w:w="9936"/>
            <w:shd w:val="clear" w:fill="FBFAF7"/>
          </w:tcPr>
          <w:p>
            <w:pPr>
              <w:spacing w:after="60"/>
            </w:pPr>
            <w:r/>
            <w:r>
              <w:rPr>
                <w:sz w:val="21"/>
              </w:rPr>
            </w:r>
          </w:p>
        </w:tc>
      </w:tr>
    </w:tbl>
    <w:p>
      <w:pPr>
        <w:spacing w:after="60"/>
      </w:pPr>
    </w:p>
    <w:p>
      <w:pPr>
        <w:spacing w:after="40"/>
      </w:pPr>
      <w:r>
        <w:rPr>
          <w:rFonts w:ascii="Calibri" w:hAnsi="Calibri"/>
          <w:b/>
          <w:i w:val="0"/>
          <w:color w:val="6B7285"/>
          <w:sz w:val="19"/>
        </w:rPr>
        <w:t>The requirement that decided it</w:t>
      </w:r>
    </w:p>
    <w:tbl>
      <w:tblPr>
        <w:tblStyle w:val="TableGrid"/>
        <w:tblW w:type="auto" w:w="0"/>
        <w:jc w:val="left"/>
        <w:tblLook w:firstColumn="1" w:firstRow="1" w:lastColumn="0" w:lastRow="0" w:noHBand="0" w:noVBand="1" w:val="04A0"/>
      </w:tblPr>
      <w:tblGrid>
        <w:gridCol w:w="9936"/>
      </w:tblGrid>
      <w:tr>
        <w:tc>
          <w:tcPr>
            <w:tcW w:type="dxa" w:w="9936"/>
            <w:shd w:val="clear" w:fill="FBFAF7"/>
          </w:tcPr>
          <w:p>
            <w:pPr>
              <w:spacing w:after="60"/>
            </w:pPr>
            <w:r/>
            <w:r>
              <w:rPr>
                <w:sz w:val="21"/>
              </w:rPr>
            </w:r>
          </w:p>
          <w:p>
            <w:pPr>
              <w:spacing w:after="60"/>
            </w:pPr>
            <w:r>
              <w:rPr>
                <w:sz w:val="21"/>
              </w:rPr>
            </w:r>
          </w:p>
        </w:tc>
      </w:tr>
    </w:tbl>
    <w:p>
      <w:pPr>
        <w:spacing w:after="60"/>
      </w:pPr>
    </w:p>
    <w:p>
      <w:pPr>
        <w:spacing w:after="40"/>
      </w:pPr>
      <w:r>
        <w:rPr>
          <w:rFonts w:ascii="Calibri" w:hAnsi="Calibri"/>
          <w:b/>
          <w:i w:val="0"/>
          <w:color w:val="6B7285"/>
          <w:sz w:val="19"/>
        </w:rPr>
        <w:t>What we gave up by choosing this</w:t>
      </w:r>
    </w:p>
    <w:tbl>
      <w:tblPr>
        <w:tblStyle w:val="TableGrid"/>
        <w:tblW w:type="auto" w:w="0"/>
        <w:jc w:val="left"/>
        <w:tblLook w:firstColumn="1" w:firstRow="1" w:lastColumn="0" w:lastRow="0" w:noHBand="0" w:noVBand="1" w:val="04A0"/>
      </w:tblPr>
      <w:tblGrid>
        <w:gridCol w:w="9936"/>
      </w:tblGrid>
      <w:tr>
        <w:tc>
          <w:tcPr>
            <w:tcW w:type="dxa" w:w="9936"/>
            <w:shd w:val="clear" w:fill="FBFAF7"/>
          </w:tcPr>
          <w:p>
            <w:pPr>
              <w:spacing w:after="60"/>
            </w:pPr>
            <w:r/>
            <w:r>
              <w:rPr>
                <w:sz w:val="21"/>
              </w:rPr>
            </w:r>
          </w:p>
          <w:p>
            <w:pPr>
              <w:spacing w:after="60"/>
            </w:pPr>
            <w:r>
              <w:rPr>
                <w:sz w:val="21"/>
              </w:rPr>
            </w:r>
          </w:p>
        </w:tc>
      </w:tr>
    </w:tbl>
    <w:p>
      <w:pPr>
        <w:spacing w:after="60"/>
      </w:pPr>
    </w:p>
    <w:p>
      <w:pPr>
        <w:spacing w:after="40"/>
      </w:pPr>
      <w:r>
        <w:rPr>
          <w:rFonts w:ascii="Calibri" w:hAnsi="Calibri"/>
          <w:b/>
          <w:i w:val="0"/>
          <w:color w:val="6B7285"/>
          <w:sz w:val="19"/>
        </w:rPr>
        <w:t>Who would disagree, and on what grounds</w:t>
      </w:r>
    </w:p>
    <w:tbl>
      <w:tblPr>
        <w:tblStyle w:val="TableGrid"/>
        <w:tblW w:type="auto" w:w="0"/>
        <w:jc w:val="left"/>
        <w:tblLook w:firstColumn="1" w:firstRow="1" w:lastColumn="0" w:lastRow="0" w:noHBand="0" w:noVBand="1" w:val="04A0"/>
      </w:tblPr>
      <w:tblGrid>
        <w:gridCol w:w="9936"/>
      </w:tblGrid>
      <w:tr>
        <w:tc>
          <w:tcPr>
            <w:tcW w:type="dxa" w:w="9936"/>
            <w:shd w:val="clear" w:fill="FBFAF7"/>
          </w:tcPr>
          <w:p>
            <w:pPr>
              <w:spacing w:after="60"/>
            </w:pPr>
            <w:r/>
            <w:r>
              <w:rPr>
                <w:sz w:val="21"/>
              </w:rPr>
            </w:r>
          </w:p>
          <w:p>
            <w:pPr>
              <w:spacing w:after="60"/>
            </w:pPr>
            <w:r>
              <w:rPr>
                <w:sz w:val="21"/>
              </w:rPr>
            </w:r>
          </w:p>
        </w:tc>
      </w:tr>
    </w:tbl>
    <w:p>
      <w:pPr>
        <w:spacing w:after="60"/>
      </w:pPr>
    </w:p>
    <w:p>
      <w:r>
        <w:br w:type="page"/>
      </w:r>
    </w:p>
    <w:p>
      <w:pPr>
        <w:spacing w:after="60"/>
      </w:pPr>
      <w:r>
        <w:rPr>
          <w:rFonts w:ascii="Calibri" w:hAnsi="Calibri"/>
          <w:b/>
          <w:i w:val="0"/>
          <w:color w:val="14213D"/>
          <w:sz w:val="22"/>
        </w:rPr>
        <w:t>2. Two guarantees</w:t>
      </w:r>
    </w:p>
    <w:p>
      <w:pPr>
        <w:spacing w:after="60"/>
      </w:pPr>
      <w:r>
        <w:rPr>
          <w:rFonts w:ascii="Calibri" w:hAnsi="Calibri"/>
          <w:b/>
          <w:i w:val="0"/>
          <w:color w:val="1B65F5"/>
          <w:sz w:val="21"/>
        </w:rPr>
        <w:t>Guarantee A</w:t>
      </w:r>
    </w:p>
    <w:tbl>
      <w:tblPr>
        <w:tblStyle w:val="TableGrid"/>
        <w:tblW w:type="auto" w:w="0"/>
        <w:tblLook w:firstColumn="1" w:firstRow="1" w:lastColumn="0" w:lastRow="0" w:noHBand="0" w:noVBand="1" w:val="04A0"/>
      </w:tblPr>
      <w:tblGrid>
        <w:gridCol w:w="4968"/>
        <w:gridCol w:w="4968"/>
      </w:tblGrid>
      <w:tr>
        <w:tc>
          <w:tcPr>
            <w:tcW w:type="dxa" w:w="3744"/>
            <w:shd w:val="clear" w:fill="EFEDE6"/>
          </w:tcPr>
          <w:p>
            <w:r/>
            <w:r>
              <w:rPr>
                <w:b/>
                <w:sz w:val="19"/>
              </w:rPr>
              <w:t>The metric (what is measured)</w:t>
            </w:r>
          </w:p>
        </w:tc>
        <w:tc>
          <w:tcPr>
            <w:tcW w:type="dxa" w:w="6048"/>
          </w:tcPr>
          <w:p>
            <w:r/>
          </w:p>
        </w:tc>
      </w:tr>
      <w:tr>
        <w:tc>
          <w:tcPr>
            <w:tcW w:type="dxa" w:w="3744"/>
            <w:shd w:val="clear" w:fill="EFEDE6"/>
          </w:tcPr>
          <w:p>
            <w:r/>
            <w:r>
              <w:rPr>
                <w:b/>
                <w:sz w:val="19"/>
              </w:rPr>
              <w:t>The threshold (must contain a digit and a date)</w:t>
            </w:r>
          </w:p>
        </w:tc>
        <w:tc>
          <w:tcPr>
            <w:tcW w:type="dxa" w:w="6048"/>
          </w:tcPr>
          <w:p>
            <w:r/>
          </w:p>
        </w:tc>
      </w:tr>
      <w:tr>
        <w:tc>
          <w:tcPr>
            <w:tcW w:type="dxa" w:w="3744"/>
            <w:shd w:val="clear" w:fill="EFEDE6"/>
          </w:tcPr>
          <w:p>
            <w:r/>
            <w:r>
              <w:rPr>
                <w:b/>
                <w:sz w:val="19"/>
              </w:rPr>
              <w:t>How it is measured (which system or report)</w:t>
            </w:r>
          </w:p>
        </w:tc>
        <w:tc>
          <w:tcPr>
            <w:tcW w:type="dxa" w:w="6048"/>
          </w:tcPr>
          <w:p>
            <w:r/>
          </w:p>
        </w:tc>
      </w:tr>
      <w:tr>
        <w:tc>
          <w:tcPr>
            <w:tcW w:type="dxa" w:w="3744"/>
            <w:shd w:val="clear" w:fill="EFEDE6"/>
          </w:tcPr>
          <w:p>
            <w:r/>
            <w:r>
              <w:rPr>
                <w:b/>
                <w:sz w:val="19"/>
              </w:rPr>
              <w:t>What happens on breach</w:t>
            </w:r>
          </w:p>
        </w:tc>
        <w:tc>
          <w:tcPr>
            <w:tcW w:type="dxa" w:w="6048"/>
          </w:tcPr>
          <w:p>
            <w:r/>
          </w:p>
        </w:tc>
      </w:tr>
      <w:tr>
        <w:tc>
          <w:tcPr>
            <w:tcW w:type="dxa" w:w="3744"/>
            <w:shd w:val="clear" w:fill="EFEDE6"/>
          </w:tcPr>
          <w:p>
            <w:r/>
            <w:r>
              <w:rPr>
                <w:b/>
                <w:sz w:val="19"/>
              </w:rPr>
              <w:t>Who takes that action (named role)</w:t>
            </w:r>
          </w:p>
        </w:tc>
        <w:tc>
          <w:tcPr>
            <w:tcW w:type="dxa" w:w="6048"/>
          </w:tcPr>
          <w:p>
            <w:r/>
          </w:p>
        </w:tc>
      </w:tr>
    </w:tbl>
    <w:p>
      <w:pPr>
        <w:spacing w:after="100"/>
      </w:pPr>
    </w:p>
    <w:p>
      <w:pPr>
        <w:spacing w:after="60"/>
      </w:pPr>
      <w:r>
        <w:rPr>
          <w:rFonts w:ascii="Calibri" w:hAnsi="Calibri"/>
          <w:b/>
          <w:i w:val="0"/>
          <w:color w:val="1B65F5"/>
          <w:sz w:val="21"/>
        </w:rPr>
        <w:t>Guarantee B</w:t>
      </w:r>
    </w:p>
    <w:tbl>
      <w:tblPr>
        <w:tblStyle w:val="TableGrid"/>
        <w:tblW w:type="auto" w:w="0"/>
        <w:tblLook w:firstColumn="1" w:firstRow="1" w:lastColumn="0" w:lastRow="0" w:noHBand="0" w:noVBand="1" w:val="04A0"/>
      </w:tblPr>
      <w:tblGrid>
        <w:gridCol w:w="4968"/>
        <w:gridCol w:w="4968"/>
      </w:tblGrid>
      <w:tr>
        <w:tc>
          <w:tcPr>
            <w:tcW w:type="dxa" w:w="3744"/>
            <w:shd w:val="clear" w:fill="EFEDE6"/>
          </w:tcPr>
          <w:p>
            <w:r/>
            <w:r>
              <w:rPr>
                <w:b/>
                <w:sz w:val="19"/>
              </w:rPr>
              <w:t>The metric (what is measured)</w:t>
            </w:r>
          </w:p>
        </w:tc>
        <w:tc>
          <w:tcPr>
            <w:tcW w:type="dxa" w:w="6048"/>
          </w:tcPr>
          <w:p>
            <w:r/>
          </w:p>
        </w:tc>
      </w:tr>
      <w:tr>
        <w:tc>
          <w:tcPr>
            <w:tcW w:type="dxa" w:w="3744"/>
            <w:shd w:val="clear" w:fill="EFEDE6"/>
          </w:tcPr>
          <w:p>
            <w:r/>
            <w:r>
              <w:rPr>
                <w:b/>
                <w:sz w:val="19"/>
              </w:rPr>
              <w:t>The threshold (must contain a digit and a date)</w:t>
            </w:r>
          </w:p>
        </w:tc>
        <w:tc>
          <w:tcPr>
            <w:tcW w:type="dxa" w:w="6048"/>
          </w:tcPr>
          <w:p>
            <w:r/>
          </w:p>
        </w:tc>
      </w:tr>
      <w:tr>
        <w:tc>
          <w:tcPr>
            <w:tcW w:type="dxa" w:w="3744"/>
            <w:shd w:val="clear" w:fill="EFEDE6"/>
          </w:tcPr>
          <w:p>
            <w:r/>
            <w:r>
              <w:rPr>
                <w:b/>
                <w:sz w:val="19"/>
              </w:rPr>
              <w:t>How it is measured (which system or report)</w:t>
            </w:r>
          </w:p>
        </w:tc>
        <w:tc>
          <w:tcPr>
            <w:tcW w:type="dxa" w:w="6048"/>
          </w:tcPr>
          <w:p>
            <w:r/>
          </w:p>
        </w:tc>
      </w:tr>
      <w:tr>
        <w:tc>
          <w:tcPr>
            <w:tcW w:type="dxa" w:w="3744"/>
            <w:shd w:val="clear" w:fill="EFEDE6"/>
          </w:tcPr>
          <w:p>
            <w:r/>
            <w:r>
              <w:rPr>
                <w:b/>
                <w:sz w:val="19"/>
              </w:rPr>
              <w:t>What happens on breach</w:t>
            </w:r>
          </w:p>
        </w:tc>
        <w:tc>
          <w:tcPr>
            <w:tcW w:type="dxa" w:w="6048"/>
          </w:tcPr>
          <w:p>
            <w:r/>
          </w:p>
        </w:tc>
      </w:tr>
      <w:tr>
        <w:tc>
          <w:tcPr>
            <w:tcW w:type="dxa" w:w="3744"/>
            <w:shd w:val="clear" w:fill="EFEDE6"/>
          </w:tcPr>
          <w:p>
            <w:r/>
            <w:r>
              <w:rPr>
                <w:b/>
                <w:sz w:val="19"/>
              </w:rPr>
              <w:t>Who takes that action (named role)</w:t>
            </w:r>
          </w:p>
        </w:tc>
        <w:tc>
          <w:tcPr>
            <w:tcW w:type="dxa" w:w="6048"/>
          </w:tcPr>
          <w:p>
            <w:r/>
          </w:p>
        </w:tc>
      </w:tr>
    </w:tbl>
    <w:p>
      <w:pPr>
        <w:spacing w:after="100"/>
      </w:pPr>
    </w:p>
    <w:p>
      <w:pPr>
        <w:spacing w:after="60"/>
      </w:pPr>
      <w:r>
        <w:rPr>
          <w:rFonts w:ascii="Calibri" w:hAnsi="Calibri"/>
          <w:b/>
          <w:i w:val="0"/>
          <w:color w:val="14213D"/>
          <w:sz w:val="22"/>
        </w:rPr>
        <w:t>3. Two options, and what decided between them</w:t>
      </w:r>
    </w:p>
    <w:p>
      <w:pPr>
        <w:spacing w:after="40"/>
      </w:pPr>
      <w:r>
        <w:rPr>
          <w:rFonts w:ascii="Calibri" w:hAnsi="Calibri"/>
          <w:b/>
          <w:i w:val="0"/>
          <w:color w:val="6B7285"/>
          <w:sz w:val="19"/>
        </w:rPr>
        <w:t>Option A</w:t>
      </w:r>
    </w:p>
    <w:tbl>
      <w:tblPr>
        <w:tblStyle w:val="TableGrid"/>
        <w:tblW w:type="auto" w:w="0"/>
        <w:jc w:val="left"/>
        <w:tblLook w:firstColumn="1" w:firstRow="1" w:lastColumn="0" w:lastRow="0" w:noHBand="0" w:noVBand="1" w:val="04A0"/>
      </w:tblPr>
      <w:tblGrid>
        <w:gridCol w:w="9936"/>
      </w:tblGrid>
      <w:tr>
        <w:tc>
          <w:tcPr>
            <w:tcW w:type="dxa" w:w="9936"/>
            <w:shd w:val="clear" w:fill="FBFAF7"/>
          </w:tcPr>
          <w:p>
            <w:pPr>
              <w:spacing w:after="60"/>
            </w:pPr>
            <w:r/>
            <w:r>
              <w:rPr>
                <w:sz w:val="21"/>
              </w:rPr>
            </w:r>
          </w:p>
        </w:tc>
      </w:tr>
    </w:tbl>
    <w:p>
      <w:pPr>
        <w:spacing w:after="60"/>
      </w:pPr>
    </w:p>
    <w:p>
      <w:pPr>
        <w:spacing w:after="40"/>
      </w:pPr>
      <w:r>
        <w:rPr>
          <w:rFonts w:ascii="Calibri" w:hAnsi="Calibri"/>
          <w:b/>
          <w:i w:val="0"/>
          <w:color w:val="6B7285"/>
          <w:sz w:val="19"/>
        </w:rPr>
        <w:t>Option B</w:t>
      </w:r>
    </w:p>
    <w:tbl>
      <w:tblPr>
        <w:tblStyle w:val="TableGrid"/>
        <w:tblW w:type="auto" w:w="0"/>
        <w:jc w:val="left"/>
        <w:tblLook w:firstColumn="1" w:firstRow="1" w:lastColumn="0" w:lastRow="0" w:noHBand="0" w:noVBand="1" w:val="04A0"/>
      </w:tblPr>
      <w:tblGrid>
        <w:gridCol w:w="9936"/>
      </w:tblGrid>
      <w:tr>
        <w:tc>
          <w:tcPr>
            <w:tcW w:type="dxa" w:w="9936"/>
            <w:shd w:val="clear" w:fill="FBFAF7"/>
          </w:tcPr>
          <w:p>
            <w:pPr>
              <w:spacing w:after="60"/>
            </w:pPr>
            <w:r/>
            <w:r>
              <w:rPr>
                <w:sz w:val="21"/>
              </w:rPr>
            </w:r>
          </w:p>
        </w:tc>
      </w:tr>
    </w:tbl>
    <w:p>
      <w:pPr>
        <w:spacing w:after="60"/>
      </w:pPr>
    </w:p>
    <w:p>
      <w:pPr>
        <w:spacing w:after="40"/>
      </w:pPr>
      <w:r>
        <w:rPr>
          <w:rFonts w:ascii="Calibri" w:hAnsi="Calibri"/>
          <w:b/>
          <w:i w:val="0"/>
          <w:color w:val="6B7285"/>
          <w:sz w:val="19"/>
        </w:rPr>
        <w:t>Chosen</w:t>
      </w:r>
    </w:p>
    <w:tbl>
      <w:tblPr>
        <w:tblStyle w:val="TableGrid"/>
        <w:tblW w:type="auto" w:w="0"/>
        <w:jc w:val="left"/>
        <w:tblLook w:firstColumn="1" w:firstRow="1" w:lastColumn="0" w:lastRow="0" w:noHBand="0" w:noVBand="1" w:val="04A0"/>
      </w:tblPr>
      <w:tblGrid>
        <w:gridCol w:w="9936"/>
      </w:tblGrid>
      <w:tr>
        <w:tc>
          <w:tcPr>
            <w:tcW w:type="dxa" w:w="9936"/>
            <w:shd w:val="clear" w:fill="FBFAF7"/>
          </w:tcPr>
          <w:p>
            <w:pPr>
              <w:spacing w:after="60"/>
            </w:pPr>
            <w:r/>
            <w:r>
              <w:rPr>
                <w:sz w:val="21"/>
              </w:rPr>
            </w:r>
          </w:p>
        </w:tc>
      </w:tr>
    </w:tbl>
    <w:p>
      <w:pPr>
        <w:spacing w:after="60"/>
      </w:pPr>
    </w:p>
    <w:p>
      <w:pPr>
        <w:spacing w:after="40"/>
      </w:pPr>
      <w:r>
        <w:rPr>
          <w:rFonts w:ascii="Calibri" w:hAnsi="Calibri"/>
          <w:b/>
          <w:i w:val="0"/>
          <w:color w:val="6B7285"/>
          <w:sz w:val="19"/>
        </w:rPr>
        <w:t>The requirement of this task that decided it</w:t>
      </w:r>
    </w:p>
    <w:tbl>
      <w:tblPr>
        <w:tblStyle w:val="TableGrid"/>
        <w:tblW w:type="auto" w:w="0"/>
        <w:jc w:val="left"/>
        <w:tblLook w:firstColumn="1" w:firstRow="1" w:lastColumn="0" w:lastRow="0" w:noHBand="0" w:noVBand="1" w:val="04A0"/>
      </w:tblPr>
      <w:tblGrid>
        <w:gridCol w:w="9936"/>
      </w:tblGrid>
      <w:tr>
        <w:tc>
          <w:tcPr>
            <w:tcW w:type="dxa" w:w="9936"/>
            <w:shd w:val="clear" w:fill="FBFAF7"/>
          </w:tcPr>
          <w:p>
            <w:pPr>
              <w:spacing w:after="60"/>
            </w:pPr>
            <w:r/>
            <w:r>
              <w:rPr>
                <w:sz w:val="21"/>
              </w:rPr>
            </w:r>
          </w:p>
          <w:p>
            <w:pPr>
              <w:spacing w:after="60"/>
            </w:pPr>
            <w:r>
              <w:rPr>
                <w:sz w:val="21"/>
              </w:rPr>
            </w:r>
          </w:p>
        </w:tc>
      </w:tr>
    </w:tbl>
    <w:p>
      <w:pPr>
        <w:spacing w:after="60"/>
      </w:pPr>
    </w:p>
    <w:p>
      <w:pPr>
        <w:spacing w:after="40"/>
      </w:pPr>
      <w:r>
        <w:rPr>
          <w:rFonts w:ascii="Calibri" w:hAnsi="Calibri"/>
          <w:b/>
          <w:i w:val="0"/>
          <w:color w:val="6B7285"/>
          <w:sz w:val="19"/>
        </w:rPr>
        <w:t>What would have to change for the other to win</w:t>
      </w:r>
    </w:p>
    <w:tbl>
      <w:tblPr>
        <w:tblStyle w:val="TableGrid"/>
        <w:tblW w:type="auto" w:w="0"/>
        <w:jc w:val="left"/>
        <w:tblLook w:firstColumn="1" w:firstRow="1" w:lastColumn="0" w:lastRow="0" w:noHBand="0" w:noVBand="1" w:val="04A0"/>
      </w:tblPr>
      <w:tblGrid>
        <w:gridCol w:w="9936"/>
      </w:tblGrid>
      <w:tr>
        <w:tc>
          <w:tcPr>
            <w:tcW w:type="dxa" w:w="9936"/>
            <w:shd w:val="clear" w:fill="FBFAF7"/>
          </w:tcPr>
          <w:p>
            <w:pPr>
              <w:spacing w:after="60"/>
            </w:pPr>
            <w:r/>
            <w:r>
              <w:rPr>
                <w:sz w:val="21"/>
              </w:rPr>
            </w:r>
          </w:p>
          <w:p>
            <w:pPr>
              <w:spacing w:after="60"/>
            </w:pPr>
            <w:r>
              <w:rPr>
                <w:sz w:val="21"/>
              </w:rPr>
            </w:r>
          </w:p>
        </w:tc>
      </w:tr>
    </w:tbl>
    <w:p>
      <w:pPr>
        <w:spacing w:after="60"/>
      </w:pPr>
    </w:p>
    <w:p>
      <w:r>
        <w:br w:type="page"/>
      </w:r>
    </w:p>
    <w:p>
      <w:pPr>
        <w:spacing w:after="60"/>
      </w:pPr>
      <w:r>
        <w:rPr>
          <w:rFonts w:ascii="Calibri" w:hAnsi="Calibri"/>
          <w:b/>
          <w:i w:val="0"/>
          <w:color w:val="14213D"/>
          <w:sz w:val="22"/>
        </w:rPr>
        <w:t>4. Context and range</w:t>
      </w:r>
    </w:p>
    <w:p>
      <w:pPr>
        <w:spacing w:after="40"/>
      </w:pPr>
      <w:r>
        <w:rPr>
          <w:rFonts w:ascii="Calibri" w:hAnsi="Calibri"/>
          <w:b/>
          <w:i w:val="0"/>
          <w:color w:val="6B7285"/>
          <w:sz w:val="19"/>
        </w:rPr>
        <w:t>Governance body or agreement, and what it stops you doing</w:t>
      </w:r>
    </w:p>
    <w:tbl>
      <w:tblPr>
        <w:tblStyle w:val="TableGrid"/>
        <w:tblW w:type="auto" w:w="0"/>
        <w:jc w:val="left"/>
        <w:tblLook w:firstColumn="1" w:firstRow="1" w:lastColumn="0" w:lastRow="0" w:noHBand="0" w:noVBand="1" w:val="04A0"/>
      </w:tblPr>
      <w:tblGrid>
        <w:gridCol w:w="9936"/>
      </w:tblGrid>
      <w:tr>
        <w:tc>
          <w:tcPr>
            <w:tcW w:type="dxa" w:w="9936"/>
            <w:shd w:val="clear" w:fill="FBFAF7"/>
          </w:tcPr>
          <w:p>
            <w:pPr>
              <w:spacing w:after="60"/>
            </w:pPr>
            <w:r/>
            <w:r>
              <w:rPr>
                <w:sz w:val="21"/>
              </w:rPr>
            </w:r>
          </w:p>
          <w:p>
            <w:pPr>
              <w:spacing w:after="60"/>
            </w:pPr>
            <w:r>
              <w:rPr>
                <w:sz w:val="21"/>
              </w:rPr>
            </w:r>
          </w:p>
        </w:tc>
      </w:tr>
    </w:tbl>
    <w:p>
      <w:pPr>
        <w:spacing w:after="60"/>
      </w:pPr>
    </w:p>
    <w:p>
      <w:pPr>
        <w:spacing w:after="40"/>
      </w:pPr>
      <w:r>
        <w:rPr>
          <w:rFonts w:ascii="Calibri" w:hAnsi="Calibri"/>
          <w:b/>
          <w:i w:val="0"/>
          <w:color w:val="6B7285"/>
          <w:sz w:val="19"/>
        </w:rPr>
        <w:t>A second one, and what it stops you doing</w:t>
      </w:r>
    </w:p>
    <w:tbl>
      <w:tblPr>
        <w:tblStyle w:val="TableGrid"/>
        <w:tblW w:type="auto" w:w="0"/>
        <w:jc w:val="left"/>
        <w:tblLook w:firstColumn="1" w:firstRow="1" w:lastColumn="0" w:lastRow="0" w:noHBand="0" w:noVBand="1" w:val="04A0"/>
      </w:tblPr>
      <w:tblGrid>
        <w:gridCol w:w="9936"/>
      </w:tblGrid>
      <w:tr>
        <w:tc>
          <w:tcPr>
            <w:tcW w:type="dxa" w:w="9936"/>
            <w:shd w:val="clear" w:fill="FBFAF7"/>
          </w:tcPr>
          <w:p>
            <w:pPr>
              <w:spacing w:after="60"/>
            </w:pPr>
            <w:r/>
            <w:r>
              <w:rPr>
                <w:sz w:val="21"/>
              </w:rPr>
            </w:r>
          </w:p>
          <w:p>
            <w:pPr>
              <w:spacing w:after="60"/>
            </w:pPr>
            <w:r>
              <w:rPr>
                <w:sz w:val="21"/>
              </w:rPr>
            </w:r>
          </w:p>
        </w:tc>
      </w:tr>
    </w:tbl>
    <w:p>
      <w:pPr>
        <w:spacing w:after="60"/>
      </w:pPr>
    </w:p>
    <w:p>
      <w:pPr>
        <w:spacing w:after="40"/>
      </w:pPr>
      <w:r>
        <w:rPr>
          <w:rFonts w:ascii="Calibri" w:hAnsi="Calibri"/>
          <w:b/>
          <w:i w:val="0"/>
          <w:color w:val="6B7285"/>
          <w:sz w:val="19"/>
        </w:rPr>
        <w:t>Which stakeholder lens this changes, and for which named role</w:t>
      </w:r>
    </w:p>
    <w:tbl>
      <w:tblPr>
        <w:tblStyle w:val="TableGrid"/>
        <w:tblW w:type="auto" w:w="0"/>
        <w:jc w:val="left"/>
        <w:tblLook w:firstColumn="1" w:firstRow="1" w:lastColumn="0" w:lastRow="0" w:noHBand="0" w:noVBand="1" w:val="04A0"/>
      </w:tblPr>
      <w:tblGrid>
        <w:gridCol w:w="9936"/>
      </w:tblGrid>
      <w:tr>
        <w:tc>
          <w:tcPr>
            <w:tcW w:type="dxa" w:w="9936"/>
            <w:shd w:val="clear" w:fill="FBFAF7"/>
          </w:tcPr>
          <w:p>
            <w:pPr>
              <w:spacing w:after="60"/>
            </w:pPr>
            <w:r/>
            <w:r>
              <w:rPr>
                <w:sz w:val="21"/>
              </w:rPr>
            </w:r>
          </w:p>
          <w:p>
            <w:pPr>
              <w:spacing w:after="60"/>
            </w:pPr>
            <w:r>
              <w:rPr>
                <w:sz w:val="21"/>
              </w:rPr>
            </w:r>
          </w:p>
        </w:tc>
      </w:tr>
    </w:tbl>
    <w:p>
      <w:pPr>
        <w:spacing w:after="60"/>
      </w:pPr>
    </w:p>
    <w:p>
      <w:pPr>
        <w:spacing w:after="40"/>
      </w:pPr>
      <w:r>
        <w:rPr>
          <w:rFonts w:ascii="Calibri" w:hAnsi="Calibri"/>
          <w:b/>
          <w:i w:val="0"/>
          <w:color w:val="6B7285"/>
          <w:sz w:val="19"/>
        </w:rPr>
        <w:t>Another Redpoint capability the same pattern would serve</w:t>
      </w:r>
    </w:p>
    <w:tbl>
      <w:tblPr>
        <w:tblStyle w:val="TableGrid"/>
        <w:tblW w:type="auto" w:w="0"/>
        <w:jc w:val="left"/>
        <w:tblLook w:firstColumn="1" w:firstRow="1" w:lastColumn="0" w:lastRow="0" w:noHBand="0" w:noVBand="1" w:val="04A0"/>
      </w:tblPr>
      <w:tblGrid>
        <w:gridCol w:w="9936"/>
      </w:tblGrid>
      <w:tr>
        <w:tc>
          <w:tcPr>
            <w:tcW w:type="dxa" w:w="9936"/>
            <w:shd w:val="clear" w:fill="FBFAF7"/>
          </w:tcPr>
          <w:p>
            <w:pPr>
              <w:spacing w:after="60"/>
            </w:pPr>
            <w:r/>
            <w:r>
              <w:rPr>
                <w:sz w:val="21"/>
              </w:rPr>
            </w:r>
          </w:p>
          <w:p>
            <w:pPr>
              <w:spacing w:after="60"/>
            </w:pPr>
            <w:r>
              <w:rPr>
                <w:sz w:val="21"/>
              </w:rPr>
            </w:r>
          </w:p>
        </w:tc>
      </w:tr>
    </w:tbl>
    <w:p>
      <w:pPr>
        <w:spacing w:after="60"/>
      </w:pPr>
    </w:p>
    <w:p>
      <w:pPr>
        <w:spacing w:after="40"/>
      </w:pPr>
      <w:r>
        <w:rPr>
          <w:rFonts w:ascii="Calibri" w:hAnsi="Calibri"/>
          <w:b/>
          <w:i w:val="0"/>
          <w:color w:val="6B7285"/>
          <w:sz w:val="19"/>
        </w:rPr>
        <w:t>The named architecture pattern this is an instance of</w:t>
      </w:r>
    </w:p>
    <w:tbl>
      <w:tblPr>
        <w:tblStyle w:val="TableGrid"/>
        <w:tblW w:type="auto" w:w="0"/>
        <w:jc w:val="left"/>
        <w:tblLook w:firstColumn="1" w:firstRow="1" w:lastColumn="0" w:lastRow="0" w:noHBand="0" w:noVBand="1" w:val="04A0"/>
      </w:tblPr>
      <w:tblGrid>
        <w:gridCol w:w="9936"/>
      </w:tblGrid>
      <w:tr>
        <w:tc>
          <w:tcPr>
            <w:tcW w:type="dxa" w:w="9936"/>
            <w:shd w:val="clear" w:fill="FBFAF7"/>
          </w:tcPr>
          <w:p>
            <w:pPr>
              <w:spacing w:after="60"/>
            </w:pPr>
            <w:r/>
            <w:r>
              <w:rPr>
                <w:sz w:val="21"/>
              </w:rPr>
            </w:r>
          </w:p>
          <w:p>
            <w:pPr>
              <w:spacing w:after="60"/>
            </w:pPr>
            <w:r>
              <w:rPr>
                <w:sz w:val="21"/>
              </w:rPr>
            </w:r>
          </w:p>
        </w:tc>
      </w:tr>
    </w:tbl>
    <w:p>
      <w:pPr>
        <w:spacing w:after="60"/>
      </w:pPr>
    </w:p>
    <w:p>
      <w:pPr>
        <w:spacing w:after="40"/>
      </w:pPr>
      <w:r>
        <w:rPr>
          <w:rFonts w:ascii="Calibri" w:hAnsi="Calibri"/>
          <w:b/>
          <w:i w:val="0"/>
          <w:color w:val="6B7285"/>
          <w:sz w:val="19"/>
        </w:rPr>
        <w:t>What would have to be true to reuse it there</w:t>
      </w:r>
    </w:p>
    <w:tbl>
      <w:tblPr>
        <w:tblStyle w:val="TableGrid"/>
        <w:tblW w:type="auto" w:w="0"/>
        <w:jc w:val="left"/>
        <w:tblLook w:firstColumn="1" w:firstRow="1" w:lastColumn="0" w:lastRow="0" w:noHBand="0" w:noVBand="1" w:val="04A0"/>
      </w:tblPr>
      <w:tblGrid>
        <w:gridCol w:w="9936"/>
      </w:tblGrid>
      <w:tr>
        <w:tc>
          <w:tcPr>
            <w:tcW w:type="dxa" w:w="9936"/>
            <w:shd w:val="clear" w:fill="FBFAF7"/>
          </w:tcPr>
          <w:p>
            <w:pPr>
              <w:spacing w:after="60"/>
            </w:pPr>
            <w:r/>
            <w:r>
              <w:rPr>
                <w:sz w:val="21"/>
              </w:rPr>
            </w:r>
          </w:p>
          <w:p>
            <w:pPr>
              <w:spacing w:after="60"/>
            </w:pPr>
            <w:r>
              <w:rPr>
                <w:sz w:val="21"/>
              </w:rPr>
            </w:r>
          </w:p>
        </w:tc>
      </w:tr>
    </w:tbl>
    <w:p>
      <w:pPr>
        <w:spacing w:after="60"/>
      </w:pPr>
    </w:p>
    <w:p>
      <w:pPr>
        <w:spacing w:before="200" w:after="80"/>
      </w:pPr>
      <w:r>
        <w:rPr>
          <w:rFonts w:ascii="Calibri" w:hAnsi="Calibri"/>
          <w:b/>
          <w:color w:val="14213D"/>
          <w:sz w:val="26"/>
        </w:rPr>
        <w:t>Peer review, inside the 35 minutes</w:t>
      </w:r>
    </w:p>
    <w:p>
      <w:pPr>
        <w:spacing w:after="120"/>
      </w:pPr>
      <w:r>
        <w:rPr>
          <w:rFonts w:ascii="Calibri" w:hAnsi="Calibri"/>
          <w:b w:val="0"/>
          <w:i w:val="0"/>
          <w:color w:val="6B7285"/>
          <w:sz w:val="20"/>
        </w:rPr>
        <w:t>Read a podmate’s work, not your own. Then tell them the single most important thing, not all five.</w:t>
      </w:r>
    </w:p>
    <w:tbl>
      <w:tblPr>
        <w:tblStyle w:val="TableGrid"/>
        <w:tblW w:type="auto" w:w="0"/>
        <w:tblLook w:firstColumn="1" w:firstRow="1" w:lastColumn="0" w:lastRow="0" w:noHBand="0" w:noVBand="1" w:val="04A0"/>
      </w:tblPr>
      <w:tblGrid>
        <w:gridCol w:w="4968"/>
        <w:gridCol w:w="4968"/>
      </w:tblGrid>
      <w:tr>
        <w:tc>
          <w:tcPr>
            <w:tcW w:type="dxa" w:w="2592"/>
            <w:shd w:val="clear" w:fill="EFEDE6"/>
          </w:tcPr>
          <w:p>
            <w:r/>
            <w:r>
              <w:rPr>
                <w:b/>
                <w:color w:val="14213D"/>
                <w:sz w:val="19"/>
              </w:rPr>
              <w:t>Check</w:t>
            </w:r>
          </w:p>
        </w:tc>
        <w:tc>
          <w:tcPr>
            <w:tcW w:type="dxa" w:w="7200"/>
            <w:shd w:val="clear" w:fill="EFEDE6"/>
          </w:tcPr>
          <w:p>
            <w:r/>
            <w:r>
              <w:rPr>
                <w:b/>
                <w:color w:val="14213D"/>
                <w:sz w:val="19"/>
              </w:rPr>
              <w:t>Flag it if</w:t>
            </w:r>
          </w:p>
        </w:tc>
      </w:tr>
      <w:tr>
        <w:tc>
          <w:tcPr>
            <w:tcW w:type="dxa" w:w="2592"/>
          </w:tcPr>
          <w:p>
            <w:pPr>
              <w:spacing w:after="40"/>
            </w:pPr>
            <w:r/>
            <w:r>
              <w:rPr>
                <w:b/>
                <w:sz w:val="20"/>
              </w:rPr>
              <w:t>The trade-off</w:t>
            </w:r>
          </w:p>
        </w:tc>
        <w:tc>
          <w:tcPr>
            <w:tcW w:type="dxa" w:w="7200"/>
          </w:tcPr>
          <w:p>
            <w:pPr>
              <w:spacing w:after="40"/>
            </w:pPr>
            <w:r/>
            <w:r>
              <w:rPr>
                <w:b w:val="0"/>
                <w:sz w:val="20"/>
              </w:rPr>
              <w:t>It is empty, vague, or says nothing was given up. That last one scores zero.</w:t>
            </w:r>
          </w:p>
        </w:tc>
      </w:tr>
      <w:tr>
        <w:tc>
          <w:tcPr>
            <w:tcW w:type="dxa" w:w="2592"/>
          </w:tcPr>
          <w:p>
            <w:pPr>
              <w:spacing w:after="40"/>
            </w:pPr>
            <w:r/>
            <w:r>
              <w:rPr>
                <w:b/>
                <w:sz w:val="20"/>
              </w:rPr>
              <w:t>The thresholds</w:t>
            </w:r>
          </w:p>
        </w:tc>
        <w:tc>
          <w:tcPr>
            <w:tcW w:type="dxa" w:w="7200"/>
          </w:tcPr>
          <w:p>
            <w:pPr>
              <w:spacing w:after="40"/>
            </w:pPr>
            <w:r/>
            <w:r>
              <w:rPr>
                <w:b w:val="0"/>
                <w:sz w:val="20"/>
              </w:rPr>
              <w:t>Either guarantee has no digit in it.</w:t>
            </w:r>
          </w:p>
        </w:tc>
      </w:tr>
      <w:tr>
        <w:tc>
          <w:tcPr>
            <w:tcW w:type="dxa" w:w="2592"/>
          </w:tcPr>
          <w:p>
            <w:pPr>
              <w:spacing w:after="40"/>
            </w:pPr>
            <w:r/>
            <w:r>
              <w:rPr>
                <w:b/>
                <w:sz w:val="20"/>
              </w:rPr>
              <w:t>The breach actions</w:t>
            </w:r>
          </w:p>
        </w:tc>
        <w:tc>
          <w:tcPr>
            <w:tcW w:type="dxa" w:w="7200"/>
          </w:tcPr>
          <w:p>
            <w:pPr>
              <w:spacing w:after="40"/>
            </w:pPr>
            <w:r/>
            <w:r>
              <w:rPr>
                <w:b w:val="0"/>
                <w:sz w:val="20"/>
              </w:rPr>
              <w:t>No action, or no named person who takes it.</w:t>
            </w:r>
          </w:p>
        </w:tc>
      </w:tr>
      <w:tr>
        <w:tc>
          <w:tcPr>
            <w:tcW w:type="dxa" w:w="2592"/>
          </w:tcPr>
          <w:p>
            <w:pPr>
              <w:spacing w:after="40"/>
            </w:pPr>
            <w:r/>
            <w:r>
              <w:rPr>
                <w:b/>
                <w:sz w:val="20"/>
              </w:rPr>
              <w:t>The deciding reason</w:t>
            </w:r>
          </w:p>
        </w:tc>
        <w:tc>
          <w:tcPr>
            <w:tcW w:type="dxa" w:w="7200"/>
          </w:tcPr>
          <w:p>
            <w:pPr>
              <w:spacing w:after="40"/>
            </w:pPr>
            <w:r/>
            <w:r>
              <w:rPr>
                <w:b w:val="0"/>
                <w:sz w:val="20"/>
              </w:rPr>
              <w:t>It is familiarity, or nothing would flip the choice.</w:t>
            </w:r>
          </w:p>
        </w:tc>
      </w:tr>
      <w:tr>
        <w:tc>
          <w:tcPr>
            <w:tcW w:type="dxa" w:w="2592"/>
          </w:tcPr>
          <w:p>
            <w:pPr>
              <w:spacing w:after="40"/>
            </w:pPr>
            <w:r/>
            <w:r>
              <w:rPr>
                <w:b/>
                <w:sz w:val="20"/>
              </w:rPr>
              <w:t>The pattern</w:t>
            </w:r>
          </w:p>
        </w:tc>
        <w:tc>
          <w:tcPr>
            <w:tcW w:type="dxa" w:w="7200"/>
          </w:tcPr>
          <w:p>
            <w:pPr>
              <w:spacing w:after="40"/>
            </w:pPr>
            <w:r/>
            <w:r>
              <w:rPr>
                <w:b w:val="0"/>
                <w:sz w:val="20"/>
              </w:rPr>
              <w:t>It says “reusable” or “scalable” instead of naming an actual pattern.</w:t>
            </w:r>
          </w:p>
        </w:tc>
      </w:tr>
    </w:tbl>
    <w:p>
      <w:pPr>
        <w:spacing w:after="80"/>
      </w:pPr>
    </w:p>
    <w:p>
      <w:pPr>
        <w:spacing w:after="40"/>
      </w:pPr>
      <w:r>
        <w:rPr>
          <w:rFonts w:ascii="Calibri" w:hAnsi="Calibri"/>
          <w:b/>
          <w:i w:val="0"/>
          <w:color w:val="6B7285"/>
          <w:sz w:val="19"/>
        </w:rPr>
        <w:t>The one thing my reviewer flagged, and what I changed because of it</w:t>
      </w:r>
    </w:p>
    <w:tbl>
      <w:tblPr>
        <w:tblStyle w:val="TableGrid"/>
        <w:tblW w:type="auto" w:w="0"/>
        <w:jc w:val="left"/>
        <w:tblLook w:firstColumn="1" w:firstRow="1" w:lastColumn="0" w:lastRow="0" w:noHBand="0" w:noVBand="1" w:val="04A0"/>
      </w:tblPr>
      <w:tblGrid>
        <w:gridCol w:w="9936"/>
      </w:tblGrid>
      <w:tr>
        <w:tc>
          <w:tcPr>
            <w:tcW w:type="dxa" w:w="9936"/>
            <w:shd w:val="clear" w:fill="FBFAF7"/>
          </w:tcPr>
          <w:p>
            <w:pPr>
              <w:spacing w:after="60"/>
            </w:pPr>
            <w:r/>
            <w:r>
              <w:rPr>
                <w:sz w:val="21"/>
              </w:rPr>
            </w:r>
          </w:p>
          <w:p>
            <w:pPr>
              <w:spacing w:after="60"/>
            </w:pPr>
            <w:r>
              <w:rPr>
                <w:sz w:val="21"/>
              </w:rPr>
            </w:r>
          </w:p>
        </w:tc>
      </w:tr>
    </w:tbl>
    <w:p>
      <w:pPr>
        <w:spacing w:after="60"/>
      </w:pPr>
    </w:p>
    <w:p>
      <w:pPr>
        <w:spacing w:after="160"/>
      </w:pPr>
      <w:r>
        <w:rPr>
          <w:rFonts w:ascii="Calibri" w:hAnsi="Calibri"/>
          <w:b/>
          <w:i w:val="0"/>
          <w:color w:val="E5533D"/>
          <w:sz w:val="19"/>
        </w:rPr>
        <w:t>Copy this into section 10 of your Halden document tonight. It is a scored line.</w:t>
      </w:r>
    </w:p>
    <w:p>
      <w:pPr>
        <w:spacing w:before="200" w:after="80"/>
      </w:pPr>
      <w:r>
        <w:rPr>
          <w:rFonts w:ascii="Calibri" w:hAnsi="Calibri"/>
          <w:b/>
          <w:color w:val="14213D"/>
          <w:sz w:val="24"/>
        </w:rPr>
        <w:t>Your pod</w:t>
      </w:r>
    </w:p>
    <w:tbl>
      <w:tblPr>
        <w:tblStyle w:val="TableGrid"/>
        <w:tblW w:type="auto" w:w="0"/>
        <w:tblLook w:firstColumn="1" w:firstRow="1" w:lastColumn="0" w:lastRow="0" w:noHBand="0" w:noVBand="1" w:val="04A0"/>
      </w:tblPr>
      <w:tblGrid>
        <w:gridCol w:w="2484"/>
        <w:gridCol w:w="2484"/>
        <w:gridCol w:w="2484"/>
        <w:gridCol w:w="2484"/>
      </w:tblGrid>
      <w:tr>
        <w:tc>
          <w:tcPr>
            <w:tcW w:type="dxa" w:w="2484"/>
            <w:shd w:val="clear" w:fill="EFEDE6"/>
          </w:tcPr>
          <w:p>
            <w:r/>
            <w:r>
              <w:rPr>
                <w:b/>
                <w:sz w:val="19"/>
              </w:rPr>
              <w:t>Pod number</w:t>
            </w:r>
          </w:p>
        </w:tc>
        <w:tc>
          <w:tcPr>
            <w:tcW w:type="dxa" w:w="2484"/>
            <w:shd w:val="clear" w:fill="EFEDE6"/>
          </w:tcPr>
          <w:p>
            <w:r/>
            <w:r>
              <w:rPr>
                <w:b/>
                <w:sz w:val="19"/>
              </w:rPr>
              <w:t>Who is presenting</w:t>
            </w:r>
          </w:p>
        </w:tc>
        <w:tc>
          <w:tcPr>
            <w:tcW w:type="dxa" w:w="2484"/>
            <w:shd w:val="clear" w:fill="EFEDE6"/>
          </w:tcPr>
          <w:p>
            <w:r/>
            <w:r>
              <w:rPr>
                <w:b/>
                <w:sz w:val="19"/>
              </w:rPr>
              <w:t>Who reviewed my work</w:t>
            </w:r>
          </w:p>
        </w:tc>
        <w:tc>
          <w:tcPr>
            <w:tcW w:type="dxa" w:w="2484"/>
            <w:shd w:val="clear" w:fill="EFEDE6"/>
          </w:tcPr>
          <w:p>
            <w:r/>
            <w:r>
              <w:rPr>
                <w:b/>
                <w:sz w:val="19"/>
              </w:rPr>
              <w:t>Timekeeper</w:t>
            </w:r>
          </w:p>
        </w:tc>
      </w:tr>
      <w:tr>
        <w:tc>
          <w:tcPr>
            <w:tcW w:type="dxa" w:w="2484"/>
          </w:tcPr>
          <w:p>
            <w:r/>
          </w:p>
        </w:tc>
        <w:tc>
          <w:tcPr>
            <w:tcW w:type="dxa" w:w="2484"/>
          </w:tcPr>
          <w:p>
            <w:r/>
          </w:p>
        </w:tc>
        <w:tc>
          <w:tcPr>
            <w:tcW w:type="dxa" w:w="2484"/>
          </w:tcPr>
          <w:p>
            <w:r/>
          </w:p>
        </w:tc>
        <w:tc>
          <w:tcPr>
            <w:tcW w:type="dxa" w:w="2484"/>
          </w:tcPr>
          <w:p>
            <w:r/>
          </w:p>
        </w:tc>
      </w:tr>
    </w:tbl>
    <w:p>
      <w:pPr>
        <w:spacing w:after="80"/>
      </w:pPr>
    </w:p>
    <w:p>
      <w:pPr>
        <w:spacing w:before="200" w:after="80"/>
      </w:pPr>
      <w:r>
        <w:rPr>
          <w:rFonts w:ascii="Calibri" w:hAnsi="Calibri"/>
          <w:b/>
          <w:color w:val="14213D"/>
          <w:sz w:val="24"/>
        </w:rPr>
        <w:t>House rules for the 35 minutes</w:t>
      </w:r>
    </w:p>
    <w:p>
      <w:pPr>
        <w:pStyle w:val="ListBullet"/>
        <w:spacing w:after="40"/>
      </w:pPr>
      <w:r>
        <w:rPr>
          <w:sz w:val="21"/>
        </w:rPr>
        <w:t>You get 35 minutes. There is no reading time inside it, so read this document before class.</w:t>
      </w:r>
    </w:p>
    <w:p>
      <w:pPr>
        <w:pStyle w:val="ListBullet"/>
        <w:spacing w:after="40"/>
      </w:pPr>
      <w:r>
        <w:rPr>
          <w:sz w:val="21"/>
        </w:rPr>
        <w:t>Nothing from this breakout is collected or marked. It is practice.</w:t>
      </w:r>
    </w:p>
    <w:p>
      <w:pPr>
        <w:pStyle w:val="ListBullet"/>
        <w:spacing w:after="40"/>
      </w:pPr>
      <w:r>
        <w:rPr>
          <w:sz w:val="21"/>
        </w:rPr>
        <w:t>Your pod reasons together. Each of you writes your own answers. Identical documents help nobody.</w:t>
      </w:r>
    </w:p>
    <w:p>
      <w:pPr>
        <w:pStyle w:val="ListBullet"/>
        <w:spacing w:after="40"/>
      </w:pPr>
      <w:r>
        <w:rPr>
          <w:sz w:val="21"/>
        </w:rPr>
        <w:t>Peer review happens inside the 35 minutes, not after. Swap with a podmate before anyone presents.</w:t>
      </w:r>
    </w:p>
    <w:p>
      <w:pPr>
        <w:pStyle w:val="ListBullet"/>
        <w:spacing w:after="40"/>
      </w:pPr>
      <w:r>
        <w:rPr>
          <w:sz w:val="21"/>
        </w:rPr>
        <w:t>Pick who presents before the timer ends. Running out of time while deciding is the most common way pods overrun.</w:t>
      </w:r>
    </w:p>
    <w:p>
      <w:pPr>
        <w:pStyle w:val="ListBullet"/>
        <w:spacing w:after="40"/>
      </w:pPr>
      <w:r>
        <w:rPr>
          <w:sz w:val="21"/>
        </w:rPr>
        <w:t>Tonight you write the same sections on Halden Mutual, alone. That document is the one you submit.</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