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4857" w14:textId="77777777" w:rsidR="00716A55" w:rsidRDefault="00716A55">
      <w:pPr>
        <w:rPr>
          <w:smallCaps/>
          <w:color w:val="191919"/>
          <w:sz w:val="72"/>
          <w:szCs w:val="72"/>
        </w:rPr>
      </w:pPr>
      <w:bookmarkStart w:id="0" w:name="_gjdgxs" w:colFirst="0" w:colLast="0"/>
      <w:bookmarkEnd w:id="0"/>
    </w:p>
    <w:tbl>
      <w:tblPr>
        <w:tblStyle w:val="a"/>
        <w:tblW w:w="11506" w:type="dxa"/>
        <w:jc w:val="center"/>
        <w:tblBorders>
          <w:insideV w:val="single" w:sz="12" w:space="0" w:color="ED7D31"/>
        </w:tblBorders>
        <w:tblLayout w:type="fixed"/>
        <w:tblLook w:val="0400" w:firstRow="0" w:lastRow="0" w:firstColumn="0" w:lastColumn="0" w:noHBand="0" w:noVBand="1"/>
      </w:tblPr>
      <w:tblGrid>
        <w:gridCol w:w="6510"/>
        <w:gridCol w:w="4996"/>
      </w:tblGrid>
      <w:tr w:rsidR="00716A55" w14:paraId="1004A14E" w14:textId="77777777">
        <w:trPr>
          <w:jc w:val="center"/>
        </w:trPr>
        <w:tc>
          <w:tcPr>
            <w:tcW w:w="6510" w:type="dxa"/>
            <w:vAlign w:val="center"/>
          </w:tcPr>
          <w:p w14:paraId="57511C74" w14:textId="77777777" w:rsidR="00716A55" w:rsidRDefault="004822DB">
            <w:pPr>
              <w:jc w:val="right"/>
            </w:pPr>
            <w:r>
              <w:rPr>
                <w:noProof/>
              </w:rPr>
              <w:drawing>
                <wp:inline distT="0" distB="0" distL="0" distR="0" wp14:anchorId="16D2733F" wp14:editId="229BFDF2">
                  <wp:extent cx="3664082" cy="2443215"/>
                  <wp:effectExtent l="38100" t="38100" r="38100" b="381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664082" cy="2443215"/>
                          </a:xfrm>
                          <a:prstGeom prst="rect">
                            <a:avLst/>
                          </a:prstGeom>
                          <a:ln w="38100">
                            <a:solidFill>
                              <a:srgbClr val="000000"/>
                            </a:solidFill>
                            <a:prstDash val="solid"/>
                          </a:ln>
                        </pic:spPr>
                      </pic:pic>
                    </a:graphicData>
                  </a:graphic>
                </wp:inline>
              </w:drawing>
            </w:r>
          </w:p>
          <w:p w14:paraId="5DBD68BA" w14:textId="77777777" w:rsidR="00716A55" w:rsidRDefault="004822DB">
            <w:pPr>
              <w:pBdr>
                <w:top w:val="nil"/>
                <w:left w:val="nil"/>
                <w:bottom w:val="nil"/>
                <w:right w:val="nil"/>
                <w:between w:val="nil"/>
              </w:pBdr>
              <w:spacing w:after="0" w:line="312" w:lineRule="auto"/>
              <w:jc w:val="right"/>
              <w:rPr>
                <w:smallCaps/>
                <w:color w:val="191919"/>
                <w:sz w:val="72"/>
                <w:szCs w:val="72"/>
              </w:rPr>
            </w:pPr>
            <w:r>
              <w:rPr>
                <w:smallCaps/>
                <w:color w:val="191919"/>
                <w:sz w:val="72"/>
                <w:szCs w:val="72"/>
              </w:rPr>
              <w:t>FINAL PROJECT</w:t>
            </w:r>
          </w:p>
          <w:p w14:paraId="46679890" w14:textId="65255853" w:rsidR="00716A55" w:rsidRDefault="00716A55">
            <w:pPr>
              <w:jc w:val="right"/>
              <w:rPr>
                <w:sz w:val="24"/>
                <w:szCs w:val="24"/>
              </w:rPr>
            </w:pPr>
          </w:p>
        </w:tc>
        <w:tc>
          <w:tcPr>
            <w:tcW w:w="4996" w:type="dxa"/>
            <w:vAlign w:val="center"/>
          </w:tcPr>
          <w:p w14:paraId="0F54A2DC" w14:textId="77777777" w:rsidR="00716A55" w:rsidRDefault="004822DB">
            <w:pPr>
              <w:pBdr>
                <w:top w:val="nil"/>
                <w:left w:val="nil"/>
                <w:bottom w:val="nil"/>
                <w:right w:val="nil"/>
                <w:between w:val="nil"/>
              </w:pBdr>
              <w:spacing w:after="0" w:line="240" w:lineRule="auto"/>
              <w:rPr>
                <w:smallCaps/>
                <w:color w:val="ED7D31"/>
                <w:sz w:val="40"/>
                <w:szCs w:val="40"/>
              </w:rPr>
            </w:pPr>
            <w:r>
              <w:rPr>
                <w:smallCaps/>
                <w:color w:val="ED7D31"/>
                <w:sz w:val="40"/>
                <w:szCs w:val="40"/>
              </w:rPr>
              <w:t>TOPIC</w:t>
            </w:r>
          </w:p>
          <w:p w14:paraId="3CF87D88" w14:textId="77777777" w:rsidR="00716A55" w:rsidRDefault="004822DB">
            <w:pPr>
              <w:rPr>
                <w:color w:val="000000"/>
                <w:sz w:val="32"/>
                <w:szCs w:val="32"/>
              </w:rPr>
            </w:pPr>
            <w:r>
              <w:rPr>
                <w:color w:val="000000"/>
                <w:sz w:val="32"/>
                <w:szCs w:val="32"/>
              </w:rPr>
              <w:t xml:space="preserve">Healthcare Fraud Detection using Data Analytics </w:t>
            </w:r>
          </w:p>
          <w:p w14:paraId="23F4994F" w14:textId="7CD595E8" w:rsidR="00716A55" w:rsidRDefault="004822DB">
            <w:pPr>
              <w:pBdr>
                <w:top w:val="nil"/>
                <w:left w:val="nil"/>
                <w:bottom w:val="nil"/>
                <w:right w:val="nil"/>
                <w:between w:val="nil"/>
              </w:pBdr>
              <w:spacing w:after="0" w:line="240" w:lineRule="auto"/>
              <w:rPr>
                <w:color w:val="ED7D31"/>
                <w:sz w:val="26"/>
                <w:szCs w:val="26"/>
              </w:rPr>
            </w:pPr>
            <w:bookmarkStart w:id="1" w:name="_GoBack"/>
            <w:bookmarkEnd w:id="1"/>
            <w:proofErr w:type="spellStart"/>
            <w:r>
              <w:rPr>
                <w:color w:val="ED7D31"/>
                <w:sz w:val="26"/>
                <w:szCs w:val="26"/>
              </w:rPr>
              <w:t>Bala</w:t>
            </w:r>
            <w:proofErr w:type="spellEnd"/>
            <w:r>
              <w:rPr>
                <w:color w:val="ED7D31"/>
                <w:sz w:val="26"/>
                <w:szCs w:val="26"/>
              </w:rPr>
              <w:t xml:space="preserve"> Durga Sridevi Kesavarapu </w:t>
            </w:r>
          </w:p>
          <w:p w14:paraId="79AA2970" w14:textId="77777777" w:rsidR="00716A55" w:rsidRDefault="004822DB">
            <w:pPr>
              <w:pBdr>
                <w:top w:val="nil"/>
                <w:left w:val="nil"/>
                <w:bottom w:val="nil"/>
                <w:right w:val="nil"/>
                <w:between w:val="nil"/>
              </w:pBdr>
              <w:spacing w:after="0" w:line="240" w:lineRule="auto"/>
              <w:rPr>
                <w:color w:val="000000"/>
              </w:rPr>
            </w:pPr>
            <w:r>
              <w:rPr>
                <w:color w:val="44546A"/>
              </w:rPr>
              <w:t xml:space="preserve">     </w:t>
            </w:r>
          </w:p>
        </w:tc>
      </w:tr>
    </w:tbl>
    <w:p w14:paraId="1CACEB4E" w14:textId="77777777" w:rsidR="00716A55" w:rsidRDefault="004822DB">
      <w:pPr>
        <w:rPr>
          <w:smallCaps/>
          <w:color w:val="191919"/>
          <w:sz w:val="72"/>
          <w:szCs w:val="72"/>
        </w:rPr>
      </w:pPr>
      <w:r>
        <w:br w:type="page"/>
      </w:r>
    </w:p>
    <w:p w14:paraId="30CBCB21" w14:textId="77777777" w:rsidR="00716A55" w:rsidRDefault="004822DB">
      <w:pPr>
        <w:pStyle w:val="Heading1"/>
        <w:spacing w:line="480" w:lineRule="auto"/>
      </w:pPr>
      <w:bookmarkStart w:id="2" w:name="_hyjlfy1oydbf" w:colFirst="0" w:colLast="0"/>
      <w:bookmarkEnd w:id="2"/>
      <w:r>
        <w:lastRenderedPageBreak/>
        <w:t xml:space="preserve">B) </w:t>
      </w:r>
      <w:r>
        <w:t xml:space="preserve">Executive Summary </w:t>
      </w:r>
    </w:p>
    <w:p w14:paraId="153C88E2"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will cover the use of </w:t>
      </w:r>
      <w:r>
        <w:rPr>
          <w:rFonts w:ascii="Times New Roman" w:eastAsia="Times New Roman" w:hAnsi="Times New Roman" w:cs="Times New Roman"/>
          <w:color w:val="000000"/>
          <w:sz w:val="24"/>
          <w:szCs w:val="24"/>
        </w:rPr>
        <w:t>business analytics in the healthcare industry with an emphasis on the security and privacy issues. While our prop</w:t>
      </w:r>
      <w:r>
        <w:rPr>
          <w:rFonts w:ascii="Times New Roman" w:eastAsia="Times New Roman" w:hAnsi="Times New Roman" w:cs="Times New Roman"/>
          <w:sz w:val="24"/>
          <w:szCs w:val="24"/>
        </w:rPr>
        <w:t>osal focused on utilizing predictive analytics to detect fraud initiated by the insured individual, throughout</w:t>
      </w:r>
      <w:r>
        <w:rPr>
          <w:rFonts w:ascii="Times New Roman" w:eastAsia="Times New Roman" w:hAnsi="Times New Roman" w:cs="Times New Roman"/>
          <w:sz w:val="24"/>
          <w:szCs w:val="24"/>
        </w:rPr>
        <w:t xml:space="preserve"> our studies we found that the overwhelming amount of committed fraud is a result of healthcare providers submitting fraudulent claims. Identity theft was also highlighted in the proposal; however, during our research this was not identified as a primary r</w:t>
      </w:r>
      <w:r>
        <w:rPr>
          <w:rFonts w:ascii="Times New Roman" w:eastAsia="Times New Roman" w:hAnsi="Times New Roman" w:cs="Times New Roman"/>
          <w:sz w:val="24"/>
          <w:szCs w:val="24"/>
        </w:rPr>
        <w:t>eason detected currently by the medical insurance providers. The actual observation discovered for medical insurance claims fraud will be further explored in the paper.</w:t>
      </w:r>
    </w:p>
    <w:p w14:paraId="4E5BFC0D"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the background and state of the industry, a conceptual model was then c</w:t>
      </w:r>
      <w:r>
        <w:rPr>
          <w:rFonts w:ascii="Times New Roman" w:eastAsia="Times New Roman" w:hAnsi="Times New Roman" w:cs="Times New Roman"/>
          <w:sz w:val="24"/>
          <w:szCs w:val="24"/>
        </w:rPr>
        <w:t>onstructed with interesting observations captured and documented. This proof-of-concept focused on identifying a pattern to detect potentially fraudulent claims and use those rules to flag the claim for further review. For example, a provider making a clai</w:t>
      </w:r>
      <w:r>
        <w:rPr>
          <w:rFonts w:ascii="Times New Roman" w:eastAsia="Times New Roman" w:hAnsi="Times New Roman" w:cs="Times New Roman"/>
          <w:sz w:val="24"/>
          <w:szCs w:val="24"/>
        </w:rPr>
        <w:t>m for a procedure that is outside of his or her area of expertise may be further scrutinized as this behavior would be considered atypical and in violation of one of the rules.</w:t>
      </w:r>
    </w:p>
    <w:p w14:paraId="39E1502C" w14:textId="77777777" w:rsidR="00716A55" w:rsidRDefault="004822DB">
      <w:pPr>
        <w:pStyle w:val="Heading1"/>
        <w:spacing w:line="480" w:lineRule="auto"/>
      </w:pPr>
      <w:bookmarkStart w:id="3" w:name="_wk52vzaf1ou5" w:colFirst="0" w:colLast="0"/>
      <w:bookmarkEnd w:id="3"/>
      <w:r>
        <w:t>C) Introduction</w:t>
      </w:r>
      <w:r>
        <w:t xml:space="preserve"> </w:t>
      </w:r>
    </w:p>
    <w:p w14:paraId="13CD6C79" w14:textId="77777777" w:rsidR="00716A55" w:rsidRDefault="004822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healthcare is now an emerging trend. Hospitals and oth</w:t>
      </w:r>
      <w:r>
        <w:rPr>
          <w:rFonts w:ascii="Times New Roman" w:eastAsia="Times New Roman" w:hAnsi="Times New Roman" w:cs="Times New Roman"/>
          <w:sz w:val="24"/>
          <w:szCs w:val="24"/>
        </w:rPr>
        <w:t>er healthcare entities are providing internet services that give patients new ways to manage their health, wellness, and medical affairs online. These types of services are convenient for the patients, but they also lead to a significantly increased threat</w:t>
      </w:r>
      <w:r>
        <w:rPr>
          <w:rFonts w:ascii="Times New Roman" w:eastAsia="Times New Roman" w:hAnsi="Times New Roman" w:cs="Times New Roman"/>
          <w:sz w:val="24"/>
          <w:szCs w:val="24"/>
        </w:rPr>
        <w:t xml:space="preserve"> of identity fraud. Fraudulent claims continue to be a significant issue, costing policyholders billions of dollars. More companies are turning to analytics to help </w:t>
      </w:r>
      <w:r>
        <w:rPr>
          <w:rFonts w:ascii="Times New Roman" w:eastAsia="Times New Roman" w:hAnsi="Times New Roman" w:cs="Times New Roman"/>
          <w:sz w:val="24"/>
          <w:szCs w:val="24"/>
        </w:rPr>
        <w:lastRenderedPageBreak/>
        <w:t>identify claim fraud. Identifying claim fraud using predictive analytics, however, represen</w:t>
      </w:r>
      <w:r>
        <w:rPr>
          <w:rFonts w:ascii="Times New Roman" w:eastAsia="Times New Roman" w:hAnsi="Times New Roman" w:cs="Times New Roman"/>
          <w:sz w:val="24"/>
          <w:szCs w:val="24"/>
        </w:rPr>
        <w:t>ts a unique challenge.</w:t>
      </w:r>
    </w:p>
    <w:p w14:paraId="4AC7122F" w14:textId="77777777" w:rsidR="00716A55" w:rsidRDefault="004822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big-data initiatives to succeed, the healthcare system must undergo some fundamental changes. For instance, the old levers for capturing value, such as unit-price discounts based on contracting and negotiating leverage, do not ta</w:t>
      </w:r>
      <w:r>
        <w:rPr>
          <w:rFonts w:ascii="Times New Roman" w:eastAsia="Times New Roman" w:hAnsi="Times New Roman" w:cs="Times New Roman"/>
          <w:sz w:val="24"/>
          <w:szCs w:val="24"/>
        </w:rPr>
        <w:t>ke full advantage of the insights that big data provides and thus need to be supplemented or replaced with other measures. Stakeholders across the industry also need to protect patient privacy as more information becomes public and ensure that safeguards a</w:t>
      </w:r>
      <w:r>
        <w:rPr>
          <w:rFonts w:ascii="Times New Roman" w:eastAsia="Times New Roman" w:hAnsi="Times New Roman" w:cs="Times New Roman"/>
          <w:sz w:val="24"/>
          <w:szCs w:val="24"/>
        </w:rPr>
        <w:t>re in place to protect organizations that release information.</w:t>
      </w:r>
    </w:p>
    <w:p w14:paraId="52115FB4" w14:textId="77777777" w:rsidR="00716A55" w:rsidRDefault="004822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Privacy is viewed as a key governing principle of the patient-physician relationship. Patients are required to share information with their physicians to facilitate correct diagnosis and treatm</w:t>
      </w:r>
      <w:r>
        <w:rPr>
          <w:rFonts w:ascii="Times New Roman" w:eastAsia="Times New Roman" w:hAnsi="Times New Roman" w:cs="Times New Roman"/>
          <w:sz w:val="24"/>
          <w:szCs w:val="24"/>
        </w:rPr>
        <w:t>ent, and to avoid adverse drug interactions. However, patients may refuse to divulge valuable information in cases of health problems such as psychiatric behavior and HIV, as their disclosure may lead to social stigma and discrimination. Over time, a patie</w:t>
      </w:r>
      <w:r>
        <w:rPr>
          <w:rFonts w:ascii="Times New Roman" w:eastAsia="Times New Roman" w:hAnsi="Times New Roman" w:cs="Times New Roman"/>
          <w:sz w:val="24"/>
          <w:szCs w:val="24"/>
        </w:rPr>
        <w:t>nt’s medical record accumulates significant personal information including identification, history of medical diagnosis, digital renderings of medical images, treatments, medication history, dietary habits, sexual preference, genetic information, psycholog</w:t>
      </w:r>
      <w:r>
        <w:rPr>
          <w:rFonts w:ascii="Times New Roman" w:eastAsia="Times New Roman" w:hAnsi="Times New Roman" w:cs="Times New Roman"/>
          <w:sz w:val="24"/>
          <w:szCs w:val="24"/>
        </w:rPr>
        <w:t xml:space="preserve">ical profiles, employment history, income and physicians’ subjective assessments of personality and mental state. </w:t>
      </w:r>
    </w:p>
    <w:p w14:paraId="7F9152EE" w14:textId="77777777" w:rsidR="00716A55" w:rsidRDefault="004822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Millions of Americans are insured in whole or in part by health insurance that is paid for with federal or state government funds although ma</w:t>
      </w:r>
      <w:r>
        <w:rPr>
          <w:rFonts w:ascii="Times New Roman" w:eastAsia="Times New Roman" w:hAnsi="Times New Roman" w:cs="Times New Roman"/>
          <w:sz w:val="24"/>
          <w:szCs w:val="24"/>
        </w:rPr>
        <w:t xml:space="preserve">ny rely on privately funded health insurance plans. Consumers sometimes do not recognize the prominence of protecting their digital health data. In this information age, individuals must take care of the sensitive data and should be mindful of the dangers </w:t>
      </w:r>
      <w:r>
        <w:rPr>
          <w:rFonts w:ascii="Times New Roman" w:eastAsia="Times New Roman" w:hAnsi="Times New Roman" w:cs="Times New Roman"/>
          <w:sz w:val="24"/>
          <w:szCs w:val="24"/>
        </w:rPr>
        <w:t>lurking in cyberspace, particularly identity theft.</w:t>
      </w:r>
    </w:p>
    <w:p w14:paraId="05276CCD"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According to the Identity Theft Resource Center, 2.3 million theft cases are reported in 2014 which is a 22% increase from the year before. The leading cause of these incidents appear to be the data breac</w:t>
      </w:r>
      <w:r>
        <w:rPr>
          <w:rFonts w:ascii="Times New Roman" w:eastAsia="Times New Roman" w:hAnsi="Times New Roman" w:cs="Times New Roman"/>
          <w:color w:val="000000"/>
          <w:sz w:val="24"/>
          <w:szCs w:val="24"/>
        </w:rPr>
        <w:t>hes.</w:t>
      </w:r>
    </w:p>
    <w:p w14:paraId="54859D28"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Medical theft can be in any one of the following way</w:t>
      </w:r>
      <w:r>
        <w:rPr>
          <w:rFonts w:ascii="Times New Roman" w:eastAsia="Times New Roman" w:hAnsi="Times New Roman" w:cs="Times New Roman"/>
          <w:sz w:val="24"/>
          <w:szCs w:val="24"/>
        </w:rPr>
        <w:t>s:</w:t>
      </w:r>
    </w:p>
    <w:p w14:paraId="24EAF993" w14:textId="77777777" w:rsidR="00716A55" w:rsidRDefault="004822DB">
      <w:pPr>
        <w:numPr>
          <w:ilvl w:val="0"/>
          <w:numId w:val="11"/>
        </w:numPr>
        <w:pBdr>
          <w:top w:val="nil"/>
          <w:left w:val="nil"/>
          <w:bottom w:val="nil"/>
          <w:right w:val="nil"/>
          <w:between w:val="nil"/>
        </w:pBdr>
        <w:spacing w:after="0" w:line="480" w:lineRule="auto"/>
        <w:jc w:val="both"/>
        <w:rPr>
          <w:color w:val="000000"/>
        </w:rPr>
      </w:pPr>
      <w:r>
        <w:rPr>
          <w:rFonts w:ascii="Times New Roman" w:eastAsia="Times New Roman" w:hAnsi="Times New Roman" w:cs="Times New Roman"/>
          <w:color w:val="000000"/>
          <w:sz w:val="24"/>
          <w:szCs w:val="24"/>
        </w:rPr>
        <w:t>When someone steals your personal information to receive the benefits such as free medical care, goods and prescription drugs.</w:t>
      </w:r>
    </w:p>
    <w:p w14:paraId="65754169" w14:textId="77777777" w:rsidR="00716A55" w:rsidRDefault="004822DB">
      <w:pPr>
        <w:numPr>
          <w:ilvl w:val="0"/>
          <w:numId w:val="11"/>
        </w:numPr>
        <w:pBdr>
          <w:top w:val="nil"/>
          <w:left w:val="nil"/>
          <w:bottom w:val="nil"/>
          <w:right w:val="nil"/>
          <w:between w:val="nil"/>
        </w:pBdr>
        <w:spacing w:after="0" w:line="480" w:lineRule="auto"/>
        <w:jc w:val="both"/>
        <w:rPr>
          <w:color w:val="000000"/>
        </w:rPr>
      </w:pPr>
      <w:r>
        <w:rPr>
          <w:rFonts w:ascii="Times New Roman" w:eastAsia="Times New Roman" w:hAnsi="Times New Roman" w:cs="Times New Roman"/>
          <w:color w:val="000000"/>
          <w:sz w:val="24"/>
          <w:szCs w:val="24"/>
        </w:rPr>
        <w:t xml:space="preserve">The treatment, health insurance, payment records and credit report may be affected if a thief’s health information is mixed with </w:t>
      </w:r>
      <w:r>
        <w:rPr>
          <w:rFonts w:ascii="Times New Roman" w:eastAsia="Times New Roman" w:hAnsi="Times New Roman" w:cs="Times New Roman"/>
          <w:color w:val="000000"/>
          <w:sz w:val="24"/>
          <w:szCs w:val="24"/>
        </w:rPr>
        <w:t>your medical records. This can disrupt a person’s life, damage their credit rating.</w:t>
      </w:r>
    </w:p>
    <w:p w14:paraId="5E5B3E25" w14:textId="77777777" w:rsidR="00716A55" w:rsidRDefault="004822DB">
      <w:pPr>
        <w:numPr>
          <w:ilvl w:val="0"/>
          <w:numId w:val="11"/>
        </w:numPr>
        <w:pBdr>
          <w:top w:val="nil"/>
          <w:left w:val="nil"/>
          <w:bottom w:val="nil"/>
          <w:right w:val="nil"/>
          <w:between w:val="nil"/>
        </w:pBdr>
        <w:spacing w:after="0" w:line="480" w:lineRule="auto"/>
        <w:jc w:val="both"/>
        <w:rPr>
          <w:color w:val="000000"/>
        </w:rPr>
      </w:pPr>
      <w:r>
        <w:rPr>
          <w:rFonts w:ascii="Times New Roman" w:eastAsia="Times New Roman" w:hAnsi="Times New Roman" w:cs="Times New Roman"/>
          <w:color w:val="000000"/>
          <w:sz w:val="24"/>
          <w:szCs w:val="24"/>
        </w:rPr>
        <w:t>The thief can make fraudulent claims against your own health insurance policy or Medicare to receive free healthcare.</w:t>
      </w:r>
    </w:p>
    <w:p w14:paraId="6D6C0BF2" w14:textId="77777777" w:rsidR="00716A55" w:rsidRDefault="004822DB">
      <w:pPr>
        <w:numPr>
          <w:ilvl w:val="0"/>
          <w:numId w:val="11"/>
        </w:numPr>
        <w:pBdr>
          <w:top w:val="nil"/>
          <w:left w:val="nil"/>
          <w:bottom w:val="nil"/>
          <w:right w:val="nil"/>
          <w:between w:val="nil"/>
        </w:pBdr>
        <w:spacing w:after="0" w:line="480" w:lineRule="auto"/>
        <w:jc w:val="both"/>
        <w:rPr>
          <w:color w:val="000000"/>
        </w:rPr>
      </w:pPr>
      <w:r>
        <w:rPr>
          <w:rFonts w:ascii="Times New Roman" w:eastAsia="Times New Roman" w:hAnsi="Times New Roman" w:cs="Times New Roman"/>
          <w:color w:val="000000"/>
          <w:sz w:val="24"/>
          <w:szCs w:val="24"/>
        </w:rPr>
        <w:t xml:space="preserve">The thief can obtain illegal, free or bogus treatment </w:t>
      </w:r>
      <w:r>
        <w:rPr>
          <w:rFonts w:ascii="Times New Roman" w:eastAsia="Times New Roman" w:hAnsi="Times New Roman" w:cs="Times New Roman"/>
          <w:color w:val="000000"/>
          <w:sz w:val="24"/>
          <w:szCs w:val="24"/>
        </w:rPr>
        <w:t>by assuming your identity to begin their own medical care free. You can be billed for fake treatment claims.</w:t>
      </w:r>
    </w:p>
    <w:p w14:paraId="65134271" w14:textId="77777777" w:rsidR="00716A55" w:rsidRDefault="004822DB">
      <w:pPr>
        <w:numPr>
          <w:ilvl w:val="0"/>
          <w:numId w:val="11"/>
        </w:num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sz w:val="24"/>
          <w:szCs w:val="24"/>
        </w:rPr>
        <w:t xml:space="preserve">The thief secures the prescriptions such as addictive drugs and medical products which they can use or sell. </w:t>
      </w:r>
    </w:p>
    <w:p w14:paraId="2EE8C8E3"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medical providers and legitimate health insurance provider customers may also commit fraud in the following ways outside of identity theft:</w:t>
      </w:r>
    </w:p>
    <w:p w14:paraId="336F6C28" w14:textId="77777777" w:rsidR="00716A55" w:rsidRDefault="004822DB">
      <w:pPr>
        <w:numPr>
          <w:ilvl w:val="0"/>
          <w:numId w:val="11"/>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patient relies on </w:t>
      </w:r>
      <w:proofErr w:type="spellStart"/>
      <w:r>
        <w:rPr>
          <w:rFonts w:ascii="Times New Roman" w:eastAsia="Times New Roman" w:hAnsi="Times New Roman" w:cs="Times New Roman"/>
          <w:sz w:val="24"/>
          <w:szCs w:val="24"/>
        </w:rPr>
        <w:t>tenureship</w:t>
      </w:r>
      <w:proofErr w:type="spellEnd"/>
      <w:r>
        <w:rPr>
          <w:rFonts w:ascii="Times New Roman" w:eastAsia="Times New Roman" w:hAnsi="Times New Roman" w:cs="Times New Roman"/>
          <w:sz w:val="24"/>
          <w:szCs w:val="24"/>
        </w:rPr>
        <w:t xml:space="preserve"> as a health insurance provider client to circumvent new customer chec</w:t>
      </w:r>
      <w:r>
        <w:rPr>
          <w:rFonts w:ascii="Times New Roman" w:eastAsia="Times New Roman" w:hAnsi="Times New Roman" w:cs="Times New Roman"/>
          <w:sz w:val="24"/>
          <w:szCs w:val="24"/>
        </w:rPr>
        <w:t>ks and commit fraud claims</w:t>
      </w:r>
    </w:p>
    <w:p w14:paraId="5494FD24" w14:textId="77777777" w:rsidR="00716A55" w:rsidRDefault="004822DB">
      <w:pPr>
        <w:numPr>
          <w:ilvl w:val="0"/>
          <w:numId w:val="11"/>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medical service provider upsells services provided to the client in a medical claim, indicating a fraudulent claim.</w:t>
      </w:r>
    </w:p>
    <w:p w14:paraId="72C03A46" w14:textId="77777777" w:rsidR="00716A55" w:rsidRDefault="004822DB">
      <w:pPr>
        <w:numPr>
          <w:ilvl w:val="0"/>
          <w:numId w:val="11"/>
        </w:numPr>
        <w:spacing w:after="0" w:line="480" w:lineRule="auto"/>
        <w:jc w:val="both"/>
      </w:pPr>
      <w:r>
        <w:rPr>
          <w:rFonts w:ascii="Times New Roman" w:eastAsia="Times New Roman" w:hAnsi="Times New Roman" w:cs="Times New Roman"/>
          <w:sz w:val="24"/>
          <w:szCs w:val="24"/>
        </w:rPr>
        <w:lastRenderedPageBreak/>
        <w:t xml:space="preserve">The medical service provider has a relationship with the patient and collaborates to commit claims fraud through </w:t>
      </w:r>
      <w:proofErr w:type="spellStart"/>
      <w:r>
        <w:rPr>
          <w:rFonts w:ascii="Times New Roman" w:eastAsia="Times New Roman" w:hAnsi="Times New Roman" w:cs="Times New Roman"/>
          <w:sz w:val="24"/>
          <w:szCs w:val="24"/>
        </w:rPr>
        <w:t>overprescription</w:t>
      </w:r>
      <w:proofErr w:type="spellEnd"/>
      <w:r>
        <w:rPr>
          <w:rFonts w:ascii="Times New Roman" w:eastAsia="Times New Roman" w:hAnsi="Times New Roman" w:cs="Times New Roman"/>
          <w:sz w:val="24"/>
          <w:szCs w:val="24"/>
        </w:rPr>
        <w:t xml:space="preserve"> or billing for non-provided services.</w:t>
      </w:r>
    </w:p>
    <w:p w14:paraId="5388745B" w14:textId="77777777" w:rsidR="00716A55" w:rsidRDefault="004822DB">
      <w:pPr>
        <w:jc w:val="both"/>
        <w:rPr>
          <w:rFonts w:ascii="Times New Roman" w:eastAsia="Times New Roman" w:hAnsi="Times New Roman" w:cs="Times New Roman"/>
          <w:color w:val="000000"/>
          <w:sz w:val="24"/>
          <w:szCs w:val="24"/>
        </w:rPr>
      </w:pPr>
      <w:r>
        <w:br w:type="page"/>
      </w:r>
    </w:p>
    <w:p w14:paraId="34E4BAAD" w14:textId="77777777" w:rsidR="00716A55" w:rsidRDefault="004822DB">
      <w:pPr>
        <w:pStyle w:val="Heading1"/>
        <w:spacing w:line="480" w:lineRule="auto"/>
      </w:pPr>
      <w:bookmarkStart w:id="4" w:name="_5r6n06p5subk" w:colFirst="0" w:colLast="0"/>
      <w:bookmarkEnd w:id="4"/>
      <w:r>
        <w:lastRenderedPageBreak/>
        <w:t xml:space="preserve">D) </w:t>
      </w:r>
      <w:r>
        <w:t xml:space="preserve">Background </w:t>
      </w:r>
    </w:p>
    <w:p w14:paraId="45DA3CBD" w14:textId="77777777" w:rsidR="00716A55" w:rsidRDefault="004822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National Association of Insurance Commissioners defines insurance f</w:t>
      </w:r>
      <w:r>
        <w:rPr>
          <w:rFonts w:ascii="Times New Roman" w:eastAsia="Times New Roman" w:hAnsi="Times New Roman" w:cs="Times New Roman"/>
          <w:sz w:val="24"/>
          <w:szCs w:val="24"/>
        </w:rPr>
        <w:t xml:space="preserve">raud as, “when an insurance company, agent, adjuster or consumer commits a deliberate deception in order to obtain an illegitimate gain. (D1)” </w:t>
      </w:r>
    </w:p>
    <w:p w14:paraId="6058F9D9" w14:textId="77777777" w:rsidR="00716A55" w:rsidRDefault="004822DB">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FBI estimates, between 3 and 10 percent of healthcare expenses were fraudulent in 2010 which equate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sz w:val="24"/>
          <w:szCs w:val="24"/>
        </w:rPr>
        <w:t>from</w:t>
      </w:r>
      <w:r>
        <w:rPr>
          <w:rFonts w:ascii="Times New Roman" w:eastAsia="Times New Roman" w:hAnsi="Times New Roman" w:cs="Times New Roman"/>
          <w:color w:val="000000"/>
          <w:sz w:val="24"/>
          <w:szCs w:val="24"/>
        </w:rPr>
        <w:t xml:space="preserve"> $77 billion to $259 billion. Insurance applicants, policyholders, and service providers all contributed to this fraud via charging for extra services not performed, lying on applications, charging for equipment not used, and even faking accidents(D2</w:t>
      </w:r>
      <w:r>
        <w:rPr>
          <w:rFonts w:ascii="Times New Roman" w:eastAsia="Times New Roman" w:hAnsi="Times New Roman" w:cs="Times New Roman"/>
          <w:color w:val="000000"/>
          <w:sz w:val="24"/>
          <w:szCs w:val="24"/>
        </w:rPr>
        <w:t>).  </w:t>
      </w:r>
    </w:p>
    <w:p w14:paraId="5075D5D8"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Another type of medical fraud on the rise is health identity theft in which victims’ identities and insurance information is stolen and then used to make false claims. In 2014, over 2.3 million Americans had their medical identity stolen. This inform</w:t>
      </w:r>
      <w:r>
        <w:rPr>
          <w:rFonts w:ascii="Times New Roman" w:eastAsia="Times New Roman" w:hAnsi="Times New Roman" w:cs="Times New Roman"/>
          <w:color w:val="000000"/>
          <w:sz w:val="24"/>
          <w:szCs w:val="24"/>
        </w:rPr>
        <w:t xml:space="preserve">ation is often stolen by medical personnel providing services and resold on the black market(D3). </w:t>
      </w:r>
    </w:p>
    <w:p w14:paraId="53999B68"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amount of data generated by the millions of healthcare claims each year generate enormous amounts of data. As of 2013, EMC estimated the volume of healt</w:t>
      </w:r>
      <w:r>
        <w:rPr>
          <w:rFonts w:ascii="Times New Roman" w:eastAsia="Times New Roman" w:hAnsi="Times New Roman" w:cs="Times New Roman"/>
          <w:color w:val="000000"/>
          <w:sz w:val="24"/>
          <w:szCs w:val="24"/>
        </w:rPr>
        <w:t>hcare data to be 153 exabytes and is expected to grow to 2.3 zettabytes by 2020((D4). Improved data analytics processes and the use of artificial intelligence are required to seek out the fraud needles in this haystack of data.</w:t>
      </w:r>
    </w:p>
    <w:p w14:paraId="46EBB9C0" w14:textId="77777777" w:rsidR="00716A55" w:rsidRDefault="00716A55">
      <w:pPr>
        <w:jc w:val="both"/>
      </w:pPr>
    </w:p>
    <w:p w14:paraId="5C41D3D7"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Detection - Current Analyti</w:t>
      </w:r>
      <w:r>
        <w:rPr>
          <w:rFonts w:ascii="Times New Roman" w:eastAsia="Times New Roman" w:hAnsi="Times New Roman" w:cs="Times New Roman"/>
          <w:i/>
          <w:color w:val="000000"/>
          <w:sz w:val="24"/>
          <w:szCs w:val="24"/>
        </w:rPr>
        <w:t>c Controls and Techniques</w:t>
      </w:r>
    </w:p>
    <w:p w14:paraId="6468B7D2"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Some of the common ways data analytics can be used to detect and prevent fraud, as identified by ACL Services, Ltd. are(D5):</w:t>
      </w:r>
    </w:p>
    <w:p w14:paraId="2060CF87"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Find kickbacks paid in exchange for referring business.</w:t>
      </w:r>
    </w:p>
    <w:p w14:paraId="3D063886"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lastRenderedPageBreak/>
        <w:t>Identify charges posted outside of proper GL period.</w:t>
      </w:r>
    </w:p>
    <w:p w14:paraId="32B33549"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Highlight “upcoding” of procedures: Statistically outlying numbers.</w:t>
      </w:r>
    </w:p>
    <w:p w14:paraId="20100BBC"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Match vendor names/addresses/tax IDs to payroll records for employees.</w:t>
      </w:r>
    </w:p>
    <w:p w14:paraId="229EF973"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Summarize large invoices without purchase orders, by amount, vendor, etc.</w:t>
      </w:r>
    </w:p>
    <w:p w14:paraId="47D47590"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Compare list of valid signed-up employees to list of people actually receiving health benefits from insurance company.</w:t>
      </w:r>
    </w:p>
    <w:p w14:paraId="3CAEE569"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Highlight billing for medically unnecessary tests.</w:t>
      </w:r>
    </w:p>
    <w:p w14:paraId="1CA3CDA8"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Identify fal</w:t>
      </w:r>
      <w:r>
        <w:rPr>
          <w:rFonts w:ascii="Times New Roman" w:eastAsia="Times New Roman" w:hAnsi="Times New Roman" w:cs="Times New Roman"/>
          <w:color w:val="000000"/>
          <w:sz w:val="24"/>
          <w:szCs w:val="24"/>
        </w:rPr>
        <w:t>se/invalid/duplicate Social Security numbers.</w:t>
      </w:r>
    </w:p>
    <w:p w14:paraId="531557B5"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Highlight excessive use of high risk DRGs (“Diagnosis-Related Groups”)</w:t>
      </w:r>
    </w:p>
    <w:p w14:paraId="74D2A500"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Identify excessive billing by a single physician</w:t>
      </w:r>
    </w:p>
    <w:p w14:paraId="5010E091"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Identify employee overtime abuses.</w:t>
      </w:r>
    </w:p>
    <w:p w14:paraId="32840659"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Report entries against authorization records for new or</w:t>
      </w:r>
      <w:r>
        <w:rPr>
          <w:rFonts w:ascii="Times New Roman" w:eastAsia="Times New Roman" w:hAnsi="Times New Roman" w:cs="Times New Roman"/>
          <w:color w:val="000000"/>
          <w:sz w:val="24"/>
          <w:szCs w:val="24"/>
        </w:rPr>
        <w:t xml:space="preserve"> terminated employees.</w:t>
      </w:r>
    </w:p>
    <w:p w14:paraId="0DF45ED9" w14:textId="77777777" w:rsidR="00716A55" w:rsidRDefault="004822DB">
      <w:pPr>
        <w:numPr>
          <w:ilvl w:val="0"/>
          <w:numId w:val="1"/>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Identify multiple payroll deposits to the same bank account.</w:t>
      </w:r>
    </w:p>
    <w:p w14:paraId="72E76E7D" w14:textId="77777777" w:rsidR="00716A55" w:rsidRDefault="00716A55">
      <w:pPr>
        <w:spacing w:line="480" w:lineRule="auto"/>
        <w:jc w:val="both"/>
      </w:pPr>
    </w:p>
    <w:p w14:paraId="3386B270"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 techniques useful to ACL in detecting fraud are(D5):</w:t>
      </w:r>
    </w:p>
    <w:p w14:paraId="5178446F" w14:textId="77777777" w:rsidR="00716A55" w:rsidRDefault="004822DB">
      <w:pPr>
        <w:numPr>
          <w:ilvl w:val="0"/>
          <w:numId w:val="4"/>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Calculation of statistical parameters (e.g., averages, standard deviations, high/low values) – to identify outliers that could indicate fraud.</w:t>
      </w:r>
    </w:p>
    <w:p w14:paraId="0DE636AF" w14:textId="77777777" w:rsidR="00716A55" w:rsidRDefault="004822DB">
      <w:pPr>
        <w:numPr>
          <w:ilvl w:val="0"/>
          <w:numId w:val="4"/>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Classification – to find patterns amongst data elements.</w:t>
      </w:r>
    </w:p>
    <w:p w14:paraId="53CCA1AD" w14:textId="77777777" w:rsidR="00716A55" w:rsidRDefault="004822DB">
      <w:pPr>
        <w:numPr>
          <w:ilvl w:val="0"/>
          <w:numId w:val="4"/>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Stratification of numbers – to identify unusual (i.e., e</w:t>
      </w:r>
      <w:r>
        <w:rPr>
          <w:rFonts w:ascii="Times New Roman" w:eastAsia="Times New Roman" w:hAnsi="Times New Roman" w:cs="Times New Roman"/>
          <w:color w:val="000000"/>
          <w:sz w:val="24"/>
          <w:szCs w:val="24"/>
        </w:rPr>
        <w:t>xcessively high or low) entries.</w:t>
      </w:r>
    </w:p>
    <w:p w14:paraId="6C635C56" w14:textId="77777777" w:rsidR="00716A55" w:rsidRDefault="004822DB">
      <w:pPr>
        <w:numPr>
          <w:ilvl w:val="0"/>
          <w:numId w:val="4"/>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 xml:space="preserve">Digital analysis using </w:t>
      </w:r>
      <w:proofErr w:type="spellStart"/>
      <w:r>
        <w:rPr>
          <w:rFonts w:ascii="Times New Roman" w:eastAsia="Times New Roman" w:hAnsi="Times New Roman" w:cs="Times New Roman"/>
          <w:color w:val="000000"/>
          <w:sz w:val="24"/>
          <w:szCs w:val="24"/>
        </w:rPr>
        <w:t>Benford’s</w:t>
      </w:r>
      <w:proofErr w:type="spellEnd"/>
      <w:r>
        <w:rPr>
          <w:rFonts w:ascii="Times New Roman" w:eastAsia="Times New Roman" w:hAnsi="Times New Roman" w:cs="Times New Roman"/>
          <w:color w:val="000000"/>
          <w:sz w:val="24"/>
          <w:szCs w:val="24"/>
        </w:rPr>
        <w:t xml:space="preserve"> Law – to identify unexpected occurrences of digits in naturally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occurring data sets.</w:t>
      </w:r>
    </w:p>
    <w:p w14:paraId="3ADA3E10" w14:textId="77777777" w:rsidR="00716A55" w:rsidRDefault="004822DB">
      <w:pPr>
        <w:numPr>
          <w:ilvl w:val="0"/>
          <w:numId w:val="6"/>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Joining different diverse sources – to identify matching values (such as names, addresses, and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account nu</w:t>
      </w:r>
      <w:r>
        <w:rPr>
          <w:rFonts w:ascii="Times New Roman" w:eastAsia="Times New Roman" w:hAnsi="Times New Roman" w:cs="Times New Roman"/>
          <w:color w:val="000000"/>
          <w:sz w:val="24"/>
          <w:szCs w:val="24"/>
        </w:rPr>
        <w:t>mbers) where they shouldn’t exist.</w:t>
      </w:r>
    </w:p>
    <w:p w14:paraId="618BB82A" w14:textId="77777777" w:rsidR="00716A55" w:rsidRDefault="004822DB">
      <w:pPr>
        <w:numPr>
          <w:ilvl w:val="0"/>
          <w:numId w:val="2"/>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lastRenderedPageBreak/>
        <w:t>Duplicate testing – to identify duplicate transactions such as payments, claims, or expense report items.</w:t>
      </w:r>
    </w:p>
    <w:p w14:paraId="4825009E" w14:textId="77777777" w:rsidR="00716A55" w:rsidRDefault="004822DB">
      <w:pPr>
        <w:numPr>
          <w:ilvl w:val="0"/>
          <w:numId w:val="2"/>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Gap testing – to identify missing values in sequential data where there should be none.</w:t>
      </w:r>
    </w:p>
    <w:p w14:paraId="4E9593AD" w14:textId="77777777" w:rsidR="00716A55" w:rsidRDefault="004822DB">
      <w:pPr>
        <w:numPr>
          <w:ilvl w:val="0"/>
          <w:numId w:val="2"/>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Summing of numeric values –</w:t>
      </w:r>
      <w:r>
        <w:rPr>
          <w:rFonts w:ascii="Times New Roman" w:eastAsia="Times New Roman" w:hAnsi="Times New Roman" w:cs="Times New Roman"/>
          <w:color w:val="000000"/>
          <w:sz w:val="24"/>
          <w:szCs w:val="24"/>
        </w:rPr>
        <w:t xml:space="preserve"> to identify control totals that may have been falsified.</w:t>
      </w:r>
    </w:p>
    <w:p w14:paraId="5B4F2B5D" w14:textId="77777777" w:rsidR="00716A55" w:rsidRDefault="004822DB">
      <w:pPr>
        <w:numPr>
          <w:ilvl w:val="0"/>
          <w:numId w:val="2"/>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Validating entry dates – to identify suspicious or inappropriate times for postings or data entry.</w:t>
      </w:r>
    </w:p>
    <w:p w14:paraId="073F6E9F"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Early Detection Means an Early Cure</w:t>
      </w:r>
    </w:p>
    <w:p w14:paraId="27838974" w14:textId="77777777" w:rsidR="00716A55" w:rsidRDefault="004822DB">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the largest issues with the healthcare system is that payment to providers is based on an “honor system.” This payment system is complicated by a large number of transactions as well as laws requiring prompt payments to healthcare providers (6). Cla</w:t>
      </w:r>
      <w:r>
        <w:rPr>
          <w:rFonts w:ascii="Times New Roman" w:eastAsia="Times New Roman" w:hAnsi="Times New Roman" w:cs="Times New Roman"/>
          <w:color w:val="000000"/>
          <w:sz w:val="24"/>
          <w:szCs w:val="24"/>
        </w:rPr>
        <w:t xml:space="preserve">ims are often paid before they can be reviewed (5), meaning that a predictive model that accurately detects fraud prior to payment can be used to reduce the number and overall cost of fraudulent claims. </w:t>
      </w:r>
    </w:p>
    <w:p w14:paraId="7C3CE9C0" w14:textId="77777777" w:rsidR="00716A55" w:rsidRDefault="004822DB">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healthcare claims are first sent to a clearingh</w:t>
      </w:r>
      <w:r>
        <w:rPr>
          <w:rFonts w:ascii="Times New Roman" w:eastAsia="Times New Roman" w:hAnsi="Times New Roman" w:cs="Times New Roman"/>
          <w:color w:val="000000"/>
          <w:sz w:val="24"/>
          <w:szCs w:val="24"/>
        </w:rPr>
        <w:t xml:space="preserve">ouse with is a third-party entity that acts as a hub between healthcare providers and insurers. These clearinghouses receive the claims, clean up the data and fix errors, and then format them into industry standard formats before sending the claims on the </w:t>
      </w:r>
      <w:r>
        <w:rPr>
          <w:rFonts w:ascii="Times New Roman" w:eastAsia="Times New Roman" w:hAnsi="Times New Roman" w:cs="Times New Roman"/>
          <w:color w:val="000000"/>
          <w:sz w:val="24"/>
          <w:szCs w:val="24"/>
        </w:rPr>
        <w:t>insurers. Whereas individual insurers are only able to access regarding their claimants, the clearinghouses view of data from multiple claims, providers, and insurers make them a prime location for the implementation of fraud detection analytic tools</w:t>
      </w:r>
      <w:r>
        <w:rPr>
          <w:rFonts w:ascii="Times New Roman" w:eastAsia="Times New Roman" w:hAnsi="Times New Roman" w:cs="Times New Roman"/>
          <w:sz w:val="24"/>
          <w:szCs w:val="24"/>
        </w:rPr>
        <w:t>(10).</w:t>
      </w:r>
    </w:p>
    <w:p w14:paraId="47E056F2" w14:textId="77777777" w:rsidR="00716A55" w:rsidRDefault="00716A55">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p>
    <w:p w14:paraId="047466D9" w14:textId="77777777" w:rsidR="00716A55" w:rsidRDefault="00716A55">
      <w:pPr>
        <w:jc w:val="both"/>
      </w:pPr>
    </w:p>
    <w:p w14:paraId="009A39A6"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Collaboration</w:t>
      </w:r>
    </w:p>
    <w:p w14:paraId="37A24C3A"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Two of The National HealthCare Anti-Fraud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ssociation’s (NHCAA) principles for policymakers focus on data sharing and collaboration between private insurers and government programs(D7):</w:t>
      </w:r>
    </w:p>
    <w:p w14:paraId="68532C61" w14:textId="77777777" w:rsidR="00716A55" w:rsidRDefault="004822DB">
      <w:pPr>
        <w:numPr>
          <w:ilvl w:val="0"/>
          <w:numId w:val="5"/>
        </w:numPr>
        <w:pBdr>
          <w:top w:val="nil"/>
          <w:left w:val="nil"/>
          <w:bottom w:val="nil"/>
          <w:right w:val="nil"/>
          <w:between w:val="nil"/>
        </w:pBdr>
        <w:spacing w:after="0" w:line="480" w:lineRule="auto"/>
        <w:ind w:left="1440"/>
        <w:jc w:val="both"/>
      </w:pPr>
      <w:r>
        <w:rPr>
          <w:rFonts w:ascii="Times New Roman" w:eastAsia="Times New Roman" w:hAnsi="Times New Roman" w:cs="Times New Roman"/>
          <w:color w:val="000000"/>
          <w:sz w:val="24"/>
          <w:szCs w:val="24"/>
        </w:rPr>
        <w:lastRenderedPageBreak/>
        <w:t>The sharing of anti-fraud information between private</w:t>
      </w:r>
      <w:r>
        <w:rPr>
          <w:rFonts w:ascii="Times New Roman" w:eastAsia="Times New Roman" w:hAnsi="Times New Roman" w:cs="Times New Roman"/>
          <w:color w:val="000000"/>
          <w:sz w:val="24"/>
          <w:szCs w:val="24"/>
        </w:rPr>
        <w:t xml:space="preserve"> insurers and government programs should be encouraged and enhanced. </w:t>
      </w:r>
    </w:p>
    <w:p w14:paraId="59DA6C57" w14:textId="77777777" w:rsidR="00716A55" w:rsidRDefault="004822DB">
      <w:pPr>
        <w:numPr>
          <w:ilvl w:val="0"/>
          <w:numId w:val="5"/>
        </w:numPr>
        <w:pBdr>
          <w:top w:val="nil"/>
          <w:left w:val="nil"/>
          <w:bottom w:val="nil"/>
          <w:right w:val="nil"/>
          <w:between w:val="nil"/>
        </w:pBdr>
        <w:spacing w:after="0" w:line="480" w:lineRule="auto"/>
        <w:ind w:left="1440"/>
        <w:jc w:val="both"/>
      </w:pPr>
      <w:r>
        <w:rPr>
          <w:rFonts w:ascii="Times New Roman" w:eastAsia="Times New Roman" w:hAnsi="Times New Roman" w:cs="Times New Roman"/>
          <w:color w:val="000000"/>
          <w:sz w:val="24"/>
          <w:szCs w:val="24"/>
        </w:rPr>
        <w:t>Data consolidation and real-time data analysis must be at the forefront of health care fraud detection and prevention.</w:t>
      </w:r>
    </w:p>
    <w:p w14:paraId="2B7B1D0C" w14:textId="77777777" w:rsidR="00716A55" w:rsidRDefault="004822DB">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healthcare providers bill multiple private and government payers such as Medicare and private insurance companies; but when analyzing claims for fraud, these payers are unable to cross-reference their data with other payers in order to identify fraudu</w:t>
      </w:r>
      <w:r>
        <w:rPr>
          <w:rFonts w:ascii="Times New Roman" w:eastAsia="Times New Roman" w:hAnsi="Times New Roman" w:cs="Times New Roman"/>
          <w:color w:val="000000"/>
          <w:sz w:val="24"/>
          <w:szCs w:val="24"/>
        </w:rPr>
        <w:t>lent activity. NHCAA asserts that an aggregated healthcare claims database whose content is accessible to all payers would allow data analysis tools to consider all related claim information as well as previous healthcare data that would lead to better ide</w:t>
      </w:r>
      <w:r>
        <w:rPr>
          <w:rFonts w:ascii="Times New Roman" w:eastAsia="Times New Roman" w:hAnsi="Times New Roman" w:cs="Times New Roman"/>
          <w:color w:val="000000"/>
          <w:sz w:val="24"/>
          <w:szCs w:val="24"/>
        </w:rPr>
        <w:t>ntification of fraud patterns(D8).</w:t>
      </w:r>
    </w:p>
    <w:p w14:paraId="2D162E3A" w14:textId="77777777" w:rsidR="00716A55" w:rsidRDefault="004822DB">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 of AI</w:t>
      </w:r>
    </w:p>
    <w:p w14:paraId="46F82AE1" w14:textId="77777777" w:rsidR="00716A55" w:rsidRDefault="004822DB">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fraud detection techniques are rule-based models that perform the same checks if-then-else checks on each transaction. Analytics companies such as AYASDI are branching out and using machine intelligence </w:t>
      </w:r>
      <w:r>
        <w:rPr>
          <w:rFonts w:ascii="Times New Roman" w:eastAsia="Times New Roman" w:hAnsi="Times New Roman" w:cs="Times New Roman"/>
          <w:color w:val="000000"/>
          <w:sz w:val="24"/>
          <w:szCs w:val="24"/>
        </w:rPr>
        <w:t xml:space="preserve">to develop algorithms to not only identify fraud but to train the AI to detect fraud on its own. </w:t>
      </w:r>
    </w:p>
    <w:p w14:paraId="3991E257" w14:textId="77777777" w:rsidR="00716A55" w:rsidRDefault="004822DB">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 may also be used to provide confirmation as to the accuracy of existing models and even to improve those models. “Rules-based checks are typically linear a</w:t>
      </w:r>
      <w:r>
        <w:rPr>
          <w:rFonts w:ascii="Times New Roman" w:eastAsia="Times New Roman" w:hAnsi="Times New Roman" w:cs="Times New Roman"/>
          <w:color w:val="000000"/>
          <w:sz w:val="24"/>
          <w:szCs w:val="24"/>
        </w:rPr>
        <w:t>nd cannot recognize the increasing sophistication of many fraud schemes. Models created from standard machine learning algorithms tend to over-fit as they attempt to describe all of the underlying data (4).”</w:t>
      </w:r>
    </w:p>
    <w:p w14:paraId="2CA4ECF6" w14:textId="77777777" w:rsidR="00716A55" w:rsidRDefault="00716A55">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4E236C89" w14:textId="77777777" w:rsidR="00716A55" w:rsidRDefault="004822DB">
      <w:pPr>
        <w:pStyle w:val="Heading1"/>
        <w:spacing w:line="480" w:lineRule="auto"/>
      </w:pPr>
      <w:bookmarkStart w:id="5" w:name="_l3vw1o9b5igx" w:colFirst="0" w:colLast="0"/>
      <w:bookmarkEnd w:id="5"/>
      <w:r>
        <w:t xml:space="preserve">E,F,G) </w:t>
      </w:r>
      <w:r>
        <w:t>Conceptual, Discussion, Results</w:t>
      </w:r>
    </w:p>
    <w:p w14:paraId="4007B570"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 orde</w:t>
      </w:r>
      <w:r>
        <w:rPr>
          <w:rFonts w:ascii="Times New Roman" w:eastAsia="Times New Roman" w:hAnsi="Times New Roman" w:cs="Times New Roman"/>
          <w:color w:val="000000"/>
          <w:sz w:val="24"/>
          <w:szCs w:val="24"/>
        </w:rPr>
        <w:t>r to develop a proof of concept for fraud detection and; therefore, reduce the impact of fraudulent claims through an honor system</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group generated a theoretical dataset </w:t>
      </w:r>
      <w:r>
        <w:rPr>
          <w:rFonts w:ascii="Times New Roman" w:eastAsia="Times New Roman" w:hAnsi="Times New Roman" w:cs="Times New Roman"/>
          <w:color w:val="000000"/>
          <w:sz w:val="24"/>
          <w:szCs w:val="24"/>
        </w:rPr>
        <w:lastRenderedPageBreak/>
        <w:t xml:space="preserve">(see </w:t>
      </w:r>
      <w:hyperlink r:id="rId6" w:anchor="bookmark=id.1j5w80ia61cb">
        <w:r>
          <w:rPr>
            <w:rFonts w:ascii="Times New Roman" w:eastAsia="Times New Roman" w:hAnsi="Times New Roman" w:cs="Times New Roman"/>
            <w:color w:val="000000"/>
            <w:sz w:val="24"/>
            <w:szCs w:val="24"/>
            <w:u w:val="single"/>
          </w:rPr>
          <w:t>reference</w:t>
        </w:r>
      </w:hyperlink>
      <w:r>
        <w:rPr>
          <w:rFonts w:ascii="Times New Roman" w:eastAsia="Times New Roman" w:hAnsi="Times New Roman" w:cs="Times New Roman"/>
          <w:color w:val="000000"/>
          <w:sz w:val="24"/>
          <w:szCs w:val="24"/>
        </w:rPr>
        <w:t xml:space="preserve">). The shorthand descriptions are also captured for the dataset in the references (see </w:t>
      </w:r>
      <w:hyperlink r:id="rId7" w:anchor="bookmark=id.3a6xm0ah4n07">
        <w:r>
          <w:rPr>
            <w:rFonts w:ascii="Times New Roman" w:eastAsia="Times New Roman" w:hAnsi="Times New Roman" w:cs="Times New Roman"/>
            <w:color w:val="000000"/>
            <w:sz w:val="24"/>
            <w:szCs w:val="24"/>
            <w:u w:val="single"/>
          </w:rPr>
          <w:t>reference</w:t>
        </w:r>
      </w:hyperlink>
      <w:r>
        <w:rPr>
          <w:rFonts w:ascii="Times New Roman" w:eastAsia="Times New Roman" w:hAnsi="Times New Roman" w:cs="Times New Roman"/>
          <w:color w:val="000000"/>
          <w:sz w:val="24"/>
          <w:szCs w:val="24"/>
        </w:rPr>
        <w:t>). Unfortunately, while a significant amount of time was spent researching and attempting to find a real-world data</w:t>
      </w:r>
      <w:r>
        <w:rPr>
          <w:rFonts w:ascii="Times New Roman" w:eastAsia="Times New Roman" w:hAnsi="Times New Roman" w:cs="Times New Roman"/>
          <w:color w:val="000000"/>
          <w:sz w:val="24"/>
          <w:szCs w:val="24"/>
        </w:rPr>
        <w:t xml:space="preserve">set to use for building and training a predictive model, a comprehensive set of attributes needed to target fraudulent claims data did not exist without a paywall to key attributes for analytics mining. Additionally, the data for healthcare and healthcare </w:t>
      </w:r>
      <w:r>
        <w:rPr>
          <w:rFonts w:ascii="Times New Roman" w:eastAsia="Times New Roman" w:hAnsi="Times New Roman" w:cs="Times New Roman"/>
          <w:color w:val="000000"/>
          <w:sz w:val="24"/>
          <w:szCs w:val="24"/>
        </w:rPr>
        <w:t xml:space="preserve">providers is constrained by HIPAA; therefore, any data sets found online with real data are neutered by the removal of important attributes useful for analytics. For example, </w:t>
      </w:r>
      <w:hyperlink r:id="rId8">
        <w:r>
          <w:rPr>
            <w:rFonts w:ascii="Times New Roman" w:eastAsia="Times New Roman" w:hAnsi="Times New Roman" w:cs="Times New Roman"/>
            <w:color w:val="000000"/>
            <w:sz w:val="24"/>
            <w:szCs w:val="24"/>
            <w:u w:val="single"/>
          </w:rPr>
          <w:t>https://data.cms.gov/</w:t>
        </w:r>
      </w:hyperlink>
      <w:r>
        <w:rPr>
          <w:rFonts w:ascii="Times New Roman" w:eastAsia="Times New Roman" w:hAnsi="Times New Roman" w:cs="Times New Roman"/>
          <w:color w:val="000000"/>
          <w:sz w:val="24"/>
          <w:szCs w:val="24"/>
        </w:rPr>
        <w:t xml:space="preserve"> and </w:t>
      </w:r>
      <w:hyperlink r:id="rId9">
        <w:r>
          <w:rPr>
            <w:rFonts w:ascii="Times New Roman" w:eastAsia="Times New Roman" w:hAnsi="Times New Roman" w:cs="Times New Roman"/>
            <w:color w:val="000000"/>
            <w:sz w:val="24"/>
            <w:szCs w:val="24"/>
            <w:u w:val="single"/>
          </w:rPr>
          <w:t>https://catalog.data.gov/dataset</w:t>
        </w:r>
      </w:hyperlink>
      <w:r>
        <w:rPr>
          <w:rFonts w:ascii="Times New Roman" w:eastAsia="Times New Roman" w:hAnsi="Times New Roman" w:cs="Times New Roman"/>
          <w:color w:val="000000"/>
          <w:sz w:val="24"/>
          <w:szCs w:val="24"/>
        </w:rPr>
        <w:t xml:space="preserve"> have datasets related to plans and related benefits along with some claim submission data (number of claims per region), but not much more information which can be used for a predictive</w:t>
      </w:r>
      <w:r>
        <w:rPr>
          <w:rFonts w:ascii="Times New Roman" w:eastAsia="Times New Roman" w:hAnsi="Times New Roman" w:cs="Times New Roman"/>
          <w:color w:val="000000"/>
          <w:sz w:val="24"/>
          <w:szCs w:val="24"/>
        </w:rPr>
        <w:t xml:space="preserve"> model.</w:t>
      </w:r>
    </w:p>
    <w:p w14:paraId="02C85239"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 result, our training dataset was generated using a random number generated between 0 and 1, with 25% of the records flagged as fraudulent and 75% of the recorded information flagged as valid claims. The rest of the data was generated from an auto-clai</w:t>
      </w:r>
      <w:r>
        <w:rPr>
          <w:rFonts w:ascii="Times New Roman" w:eastAsia="Times New Roman" w:hAnsi="Times New Roman" w:cs="Times New Roman"/>
          <w:color w:val="000000"/>
          <w:sz w:val="24"/>
          <w:szCs w:val="24"/>
        </w:rPr>
        <w:t>ms dataset, with the direct replacement of auto-claims classifications with medical claims classifications typically submitted to providers.</w:t>
      </w:r>
    </w:p>
    <w:p w14:paraId="5A070196"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generating a model for determining if a claim should be flagged as potential fraud for analysis by a claims expe</w:t>
      </w:r>
      <w:r>
        <w:rPr>
          <w:rFonts w:ascii="Times New Roman" w:eastAsia="Times New Roman" w:hAnsi="Times New Roman" w:cs="Times New Roman"/>
          <w:color w:val="000000"/>
          <w:sz w:val="24"/>
          <w:szCs w:val="24"/>
        </w:rPr>
        <w:t xml:space="preserve">rt, the dataset was first imported into SAS Enterprise Miner with the roles outlined in the </w:t>
      </w:r>
      <w:hyperlink r:id="rId10" w:anchor="bookmark=kix.k5bzle3xwfju">
        <w:r>
          <w:rPr>
            <w:rFonts w:ascii="Times New Roman" w:eastAsia="Times New Roman" w:hAnsi="Times New Roman" w:cs="Times New Roman"/>
            <w:color w:val="000000"/>
            <w:sz w:val="24"/>
            <w:szCs w:val="24"/>
            <w:u w:val="single"/>
          </w:rPr>
          <w:t>appendix</w:t>
        </w:r>
      </w:hyperlink>
      <w:r>
        <w:rPr>
          <w:rFonts w:ascii="Times New Roman" w:eastAsia="Times New Roman" w:hAnsi="Times New Roman" w:cs="Times New Roman"/>
          <w:color w:val="000000"/>
          <w:sz w:val="24"/>
          <w:szCs w:val="24"/>
        </w:rPr>
        <w:t xml:space="preserve"> below. Furthermore, </w:t>
      </w:r>
      <w:r>
        <w:rPr>
          <w:rFonts w:ascii="Times New Roman" w:eastAsia="Times New Roman" w:hAnsi="Times New Roman" w:cs="Times New Roman"/>
          <w:color w:val="000000"/>
          <w:sz w:val="24"/>
          <w:szCs w:val="24"/>
        </w:rPr>
        <w:t xml:space="preserve">any nominal variable with more than 10 classifications was marked as rejected, due to the complexities introduced in modeling decision trees with many branches for classifying a medical claim as fraud. Additionally, identification attributes unique to the </w:t>
      </w:r>
      <w:r>
        <w:rPr>
          <w:rFonts w:ascii="Times New Roman" w:eastAsia="Times New Roman" w:hAnsi="Times New Roman" w:cs="Times New Roman"/>
          <w:color w:val="000000"/>
          <w:sz w:val="24"/>
          <w:szCs w:val="24"/>
        </w:rPr>
        <w:t>row were also rejected, as these are unique identifiers to the claim and not necessarily useful in training a model to predict fraudulent claims. These rejected variables include the following:</w:t>
      </w:r>
    </w:p>
    <w:p w14:paraId="59D4D021" w14:textId="77777777" w:rsidR="00716A55" w:rsidRDefault="004822DB">
      <w:pPr>
        <w:numPr>
          <w:ilvl w:val="0"/>
          <w:numId w:val="7"/>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lastRenderedPageBreak/>
        <w:t>incident_city</w:t>
      </w:r>
      <w:proofErr w:type="spellEnd"/>
    </w:p>
    <w:p w14:paraId="54415D66" w14:textId="77777777" w:rsidR="00716A55" w:rsidRDefault="004822DB">
      <w:pPr>
        <w:numPr>
          <w:ilvl w:val="0"/>
          <w:numId w:val="7"/>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insured_hobbies</w:t>
      </w:r>
      <w:proofErr w:type="spellEnd"/>
    </w:p>
    <w:p w14:paraId="6AA902F8" w14:textId="77777777" w:rsidR="00716A55" w:rsidRDefault="004822DB">
      <w:pPr>
        <w:numPr>
          <w:ilvl w:val="0"/>
          <w:numId w:val="7"/>
        </w:numPr>
        <w:pBdr>
          <w:top w:val="nil"/>
          <w:left w:val="nil"/>
          <w:bottom w:val="nil"/>
          <w:right w:val="nil"/>
          <w:between w:val="nil"/>
        </w:pBdr>
        <w:spacing w:line="480" w:lineRule="auto"/>
        <w:jc w:val="both"/>
      </w:pPr>
      <w:proofErr w:type="spellStart"/>
      <w:r>
        <w:rPr>
          <w:rFonts w:ascii="Times New Roman" w:eastAsia="Times New Roman" w:hAnsi="Times New Roman" w:cs="Times New Roman"/>
          <w:color w:val="000000"/>
          <w:sz w:val="24"/>
          <w:szCs w:val="24"/>
        </w:rPr>
        <w:t>policy_number</w:t>
      </w:r>
      <w:proofErr w:type="spellEnd"/>
    </w:p>
    <w:p w14:paraId="70E3DA07"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Next, a </w:t>
      </w:r>
      <w:proofErr w:type="spellStart"/>
      <w:r>
        <w:rPr>
          <w:rFonts w:ascii="Times New Roman" w:eastAsia="Times New Roman" w:hAnsi="Times New Roman" w:cs="Times New Roman"/>
          <w:color w:val="000000"/>
          <w:sz w:val="24"/>
          <w:szCs w:val="24"/>
        </w:rPr>
        <w:t>StatExplore</w:t>
      </w:r>
      <w:proofErr w:type="spellEnd"/>
      <w:r>
        <w:rPr>
          <w:rFonts w:ascii="Times New Roman" w:eastAsia="Times New Roman" w:hAnsi="Times New Roman" w:cs="Times New Roman"/>
          <w:color w:val="000000"/>
          <w:sz w:val="24"/>
          <w:szCs w:val="24"/>
        </w:rPr>
        <w:t xml:space="preserve"> node was added to further explore the dataset utilized for this proof of concept. The initial standout from the generated statistics is the order of importance for the variables in generating a model; in other words, the strong correlat</w:t>
      </w:r>
      <w:r>
        <w:rPr>
          <w:rFonts w:ascii="Times New Roman" w:eastAsia="Times New Roman" w:hAnsi="Times New Roman" w:cs="Times New Roman"/>
          <w:color w:val="000000"/>
          <w:sz w:val="24"/>
          <w:szCs w:val="24"/>
        </w:rPr>
        <w:t>ion between a variable value and the fraud indicator value. In order of most important to least important, these included:</w:t>
      </w:r>
    </w:p>
    <w:p w14:paraId="70303AFF"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incident_severity</w:t>
      </w:r>
      <w:proofErr w:type="spellEnd"/>
    </w:p>
    <w:p w14:paraId="05543D9B"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claim_amount</w:t>
      </w:r>
      <w:proofErr w:type="spellEnd"/>
    </w:p>
    <w:p w14:paraId="0BCC0541"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negotiated_amount</w:t>
      </w:r>
      <w:proofErr w:type="spellEnd"/>
    </w:p>
    <w:p w14:paraId="2CF24CF5"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care_type</w:t>
      </w:r>
      <w:proofErr w:type="spellEnd"/>
    </w:p>
    <w:p w14:paraId="667F0B46"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policy_annual_premium</w:t>
      </w:r>
      <w:proofErr w:type="spellEnd"/>
    </w:p>
    <w:p w14:paraId="32E06614"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insured_occupation</w:t>
      </w:r>
      <w:proofErr w:type="spellEnd"/>
    </w:p>
    <w:p w14:paraId="65B8EB73"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incident_state</w:t>
      </w:r>
      <w:proofErr w:type="spellEnd"/>
    </w:p>
    <w:p w14:paraId="022D80FC"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months_as_customer</w:t>
      </w:r>
      <w:proofErr w:type="spellEnd"/>
    </w:p>
    <w:p w14:paraId="26B9EDBC"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drug_prescribed</w:t>
      </w:r>
      <w:proofErr w:type="spellEnd"/>
    </w:p>
    <w:p w14:paraId="45E202E4" w14:textId="77777777" w:rsidR="00716A55" w:rsidRDefault="004822DB">
      <w:pPr>
        <w:numPr>
          <w:ilvl w:val="0"/>
          <w:numId w:val="8"/>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age</w:t>
      </w:r>
    </w:p>
    <w:p w14:paraId="0A95BB26"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umbrella_limit</w:t>
      </w:r>
      <w:proofErr w:type="spellEnd"/>
    </w:p>
    <w:p w14:paraId="2D395DDF"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insured_relationship</w:t>
      </w:r>
      <w:proofErr w:type="spellEnd"/>
    </w:p>
    <w:p w14:paraId="0CD30F47"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num_prescriptions</w:t>
      </w:r>
      <w:proofErr w:type="spellEnd"/>
    </w:p>
    <w:p w14:paraId="17FDD36A" w14:textId="77777777" w:rsidR="00716A55" w:rsidRDefault="004822DB">
      <w:pPr>
        <w:numPr>
          <w:ilvl w:val="0"/>
          <w:numId w:val="8"/>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copay</w:t>
      </w:r>
    </w:p>
    <w:p w14:paraId="7FA43AF5"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insured_education_level</w:t>
      </w:r>
      <w:proofErr w:type="spellEnd"/>
    </w:p>
    <w:p w14:paraId="5A76C4B6"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policy_deductable</w:t>
      </w:r>
      <w:proofErr w:type="spellEnd"/>
    </w:p>
    <w:p w14:paraId="19654FC3"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lastRenderedPageBreak/>
        <w:t>policy_state</w:t>
      </w:r>
      <w:proofErr w:type="spellEnd"/>
    </w:p>
    <w:p w14:paraId="5EB1B6EB"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insured_sex</w:t>
      </w:r>
      <w:proofErr w:type="spellEnd"/>
    </w:p>
    <w:p w14:paraId="62C32F5C" w14:textId="77777777" w:rsidR="00716A55" w:rsidRDefault="004822DB">
      <w:pPr>
        <w:numPr>
          <w:ilvl w:val="0"/>
          <w:numId w:val="8"/>
        </w:numPr>
        <w:pBdr>
          <w:top w:val="nil"/>
          <w:left w:val="nil"/>
          <w:bottom w:val="nil"/>
          <w:right w:val="nil"/>
          <w:between w:val="nil"/>
        </w:pBdr>
        <w:spacing w:after="0" w:line="480" w:lineRule="auto"/>
        <w:jc w:val="both"/>
      </w:pPr>
      <w:proofErr w:type="spellStart"/>
      <w:r>
        <w:rPr>
          <w:rFonts w:ascii="Times New Roman" w:eastAsia="Times New Roman" w:hAnsi="Times New Roman" w:cs="Times New Roman"/>
          <w:color w:val="000000"/>
          <w:sz w:val="24"/>
          <w:szCs w:val="24"/>
        </w:rPr>
        <w:t>preexisting_phsyician_relationship</w:t>
      </w:r>
      <w:proofErr w:type="spellEnd"/>
    </w:p>
    <w:p w14:paraId="74FCBC07" w14:textId="77777777" w:rsidR="00716A55" w:rsidRDefault="004822DB">
      <w:pPr>
        <w:numPr>
          <w:ilvl w:val="0"/>
          <w:numId w:val="8"/>
        </w:numPr>
        <w:pBdr>
          <w:top w:val="nil"/>
          <w:left w:val="nil"/>
          <w:bottom w:val="nil"/>
          <w:right w:val="nil"/>
          <w:between w:val="nil"/>
        </w:pBdr>
        <w:spacing w:line="480" w:lineRule="auto"/>
        <w:jc w:val="both"/>
      </w:pPr>
      <w:proofErr w:type="spellStart"/>
      <w:r>
        <w:rPr>
          <w:rFonts w:ascii="Times New Roman" w:eastAsia="Times New Roman" w:hAnsi="Times New Roman" w:cs="Times New Roman"/>
          <w:color w:val="000000"/>
          <w:sz w:val="24"/>
          <w:szCs w:val="24"/>
        </w:rPr>
        <w:t>new_prescription</w:t>
      </w:r>
      <w:proofErr w:type="spellEnd"/>
    </w:p>
    <w:p w14:paraId="1EC6500E"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Additional insights gleaned from the </w:t>
      </w:r>
      <w:proofErr w:type="spellStart"/>
      <w:r>
        <w:rPr>
          <w:rFonts w:ascii="Times New Roman" w:eastAsia="Times New Roman" w:hAnsi="Times New Roman" w:cs="Times New Roman"/>
          <w:color w:val="000000"/>
          <w:sz w:val="24"/>
          <w:szCs w:val="24"/>
        </w:rPr>
        <w:t>StatExplore</w:t>
      </w:r>
      <w:proofErr w:type="spellEnd"/>
      <w:r>
        <w:rPr>
          <w:rFonts w:ascii="Times New Roman" w:eastAsia="Times New Roman" w:hAnsi="Times New Roman" w:cs="Times New Roman"/>
          <w:color w:val="000000"/>
          <w:sz w:val="24"/>
          <w:szCs w:val="24"/>
        </w:rPr>
        <w:t xml:space="preserve"> node include that the mean claim age is 38, with 9.1 years as the standard deviation. Furthermore, the average age of a customer account submitting is 203 months, which works out to 16.9 years. In other word</w:t>
      </w:r>
      <w:r>
        <w:rPr>
          <w:rFonts w:ascii="Times New Roman" w:eastAsia="Times New Roman" w:hAnsi="Times New Roman" w:cs="Times New Roman"/>
          <w:color w:val="000000"/>
          <w:sz w:val="24"/>
          <w:szCs w:val="24"/>
        </w:rPr>
        <w:t>s, fraudulent claims are not limited to a potential collaboration between a patient’s doctor and a new patient on an insurance plan, but if a collaborative effort, then the customers are long term customers. Finally, with a focus on the type of care provid</w:t>
      </w:r>
      <w:r>
        <w:rPr>
          <w:rFonts w:ascii="Times New Roman" w:eastAsia="Times New Roman" w:hAnsi="Times New Roman" w:cs="Times New Roman"/>
          <w:color w:val="000000"/>
          <w:sz w:val="24"/>
          <w:szCs w:val="24"/>
        </w:rPr>
        <w:t>ed, both urgent care and general practice have roughly the same number of fraudulent claims, resulting in a reduced worth on the overall model.</w:t>
      </w:r>
    </w:p>
    <w:p w14:paraId="38F9F823"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After analyzing other variables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n </w:t>
      </w:r>
      <w:proofErr w:type="spellStart"/>
      <w:r>
        <w:rPr>
          <w:rFonts w:ascii="Times New Roman" w:eastAsia="Times New Roman" w:hAnsi="Times New Roman" w:cs="Times New Roman"/>
          <w:color w:val="000000"/>
          <w:sz w:val="24"/>
          <w:szCs w:val="24"/>
        </w:rPr>
        <w:t>StatExplore</w:t>
      </w:r>
      <w:proofErr w:type="spellEnd"/>
      <w:r>
        <w:rPr>
          <w:rFonts w:ascii="Times New Roman" w:eastAsia="Times New Roman" w:hAnsi="Times New Roman" w:cs="Times New Roman"/>
          <w:color w:val="000000"/>
          <w:sz w:val="24"/>
          <w:szCs w:val="24"/>
        </w:rPr>
        <w:t xml:space="preserve">, a replacement node was then added with a connection to the SAS </w:t>
      </w:r>
      <w:r>
        <w:rPr>
          <w:rFonts w:ascii="Times New Roman" w:eastAsia="Times New Roman" w:hAnsi="Times New Roman" w:cs="Times New Roman"/>
          <w:color w:val="000000"/>
          <w:sz w:val="24"/>
          <w:szCs w:val="24"/>
        </w:rPr>
        <w:t xml:space="preserve">table node. The replacement node used the default standard deviation replacement method to trim interval variable values not conforming to the bell curve except for a user defined interval override for </w:t>
      </w:r>
      <w:proofErr w:type="spellStart"/>
      <w:r>
        <w:rPr>
          <w:rFonts w:ascii="Times New Roman" w:eastAsia="Times New Roman" w:hAnsi="Times New Roman" w:cs="Times New Roman"/>
          <w:color w:val="000000"/>
          <w:sz w:val="24"/>
          <w:szCs w:val="24"/>
        </w:rPr>
        <w:t>claim_amount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negotiated_amount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policy_annual_pre</w:t>
      </w:r>
      <w:r>
        <w:rPr>
          <w:rFonts w:ascii="Times New Roman" w:eastAsia="Times New Roman" w:hAnsi="Times New Roman" w:cs="Times New Roman"/>
          <w:color w:val="000000"/>
          <w:sz w:val="24"/>
          <w:szCs w:val="24"/>
        </w:rPr>
        <w:t>mium</w:t>
      </w:r>
      <w:proofErr w:type="spellEnd"/>
      <w:r>
        <w:rPr>
          <w:rFonts w:ascii="Times New Roman" w:eastAsia="Times New Roman" w:hAnsi="Times New Roman" w:cs="Times New Roman"/>
          <w:color w:val="000000"/>
          <w:sz w:val="24"/>
          <w:szCs w:val="24"/>
        </w:rPr>
        <w:t>. The user overrides include the following:</w:t>
      </w:r>
    </w:p>
    <w:p w14:paraId="68B12264" w14:textId="77777777" w:rsidR="00716A55" w:rsidRDefault="004822DB">
      <w:pPr>
        <w:numPr>
          <w:ilvl w:val="0"/>
          <w:numId w:val="9"/>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claim_amount</w:t>
      </w:r>
      <w:proofErr w:type="spellEnd"/>
      <w:r>
        <w:rPr>
          <w:rFonts w:ascii="Times New Roman" w:eastAsia="Times New Roman" w:hAnsi="Times New Roman" w:cs="Times New Roman"/>
          <w:color w:val="000000"/>
          <w:sz w:val="24"/>
          <w:szCs w:val="24"/>
        </w:rPr>
        <w:t xml:space="preserve"> lower limit was set to 16787.11 as primary concern in detection is for higher claim amounts and not necessarily “petty fraud”. Any claims lower than 1000 are considered for the report purpose as routine visits.</w:t>
      </w:r>
    </w:p>
    <w:p w14:paraId="6E8141B3" w14:textId="77777777" w:rsidR="00716A55" w:rsidRDefault="004822DB">
      <w:pPr>
        <w:numPr>
          <w:ilvl w:val="0"/>
          <w:numId w:val="9"/>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negotiated_amount</w:t>
      </w:r>
      <w:proofErr w:type="spellEnd"/>
      <w:r>
        <w:rPr>
          <w:rFonts w:ascii="Times New Roman" w:eastAsia="Times New Roman" w:hAnsi="Times New Roman" w:cs="Times New Roman"/>
          <w:color w:val="000000"/>
          <w:sz w:val="24"/>
          <w:szCs w:val="24"/>
        </w:rPr>
        <w:t xml:space="preserve"> replac</w:t>
      </w:r>
      <w:r>
        <w:rPr>
          <w:rFonts w:ascii="Times New Roman" w:eastAsia="Times New Roman" w:hAnsi="Times New Roman" w:cs="Times New Roman"/>
          <w:color w:val="000000"/>
          <w:sz w:val="24"/>
          <w:szCs w:val="24"/>
        </w:rPr>
        <w:t xml:space="preserve">ement lower limit set to 919.89 for the same reasons as </w:t>
      </w:r>
      <w:proofErr w:type="spellStart"/>
      <w:r>
        <w:rPr>
          <w:rFonts w:ascii="Times New Roman" w:eastAsia="Times New Roman" w:hAnsi="Times New Roman" w:cs="Times New Roman"/>
          <w:color w:val="000000"/>
          <w:sz w:val="24"/>
          <w:szCs w:val="24"/>
        </w:rPr>
        <w:t>claim_amount</w:t>
      </w:r>
      <w:proofErr w:type="spellEnd"/>
      <w:r>
        <w:rPr>
          <w:rFonts w:ascii="Times New Roman" w:eastAsia="Times New Roman" w:hAnsi="Times New Roman" w:cs="Times New Roman"/>
          <w:color w:val="000000"/>
          <w:sz w:val="24"/>
          <w:szCs w:val="24"/>
        </w:rPr>
        <w:t xml:space="preserve">. More attention was given to trimming the negotiated amount; however, as it is the more concerning amount since this is the amount paid to the provider and the potential motivation for a </w:t>
      </w:r>
      <w:r>
        <w:rPr>
          <w:rFonts w:ascii="Times New Roman" w:eastAsia="Times New Roman" w:hAnsi="Times New Roman" w:cs="Times New Roman"/>
          <w:color w:val="000000"/>
          <w:sz w:val="24"/>
          <w:szCs w:val="24"/>
        </w:rPr>
        <w:t>fraud payout.</w:t>
      </w:r>
    </w:p>
    <w:p w14:paraId="6FC25507" w14:textId="77777777" w:rsidR="00716A55" w:rsidRDefault="004822DB">
      <w:pPr>
        <w:numPr>
          <w:ilvl w:val="0"/>
          <w:numId w:val="9"/>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lastRenderedPageBreak/>
        <w:t xml:space="preserve">The </w:t>
      </w:r>
      <w:proofErr w:type="spellStart"/>
      <w:r>
        <w:rPr>
          <w:rFonts w:ascii="Times New Roman" w:eastAsia="Times New Roman" w:hAnsi="Times New Roman" w:cs="Times New Roman"/>
          <w:color w:val="000000"/>
          <w:sz w:val="24"/>
          <w:szCs w:val="24"/>
        </w:rPr>
        <w:t>policy_annual_premium</w:t>
      </w:r>
      <w:proofErr w:type="spellEnd"/>
      <w:r>
        <w:rPr>
          <w:rFonts w:ascii="Times New Roman" w:eastAsia="Times New Roman" w:hAnsi="Times New Roman" w:cs="Times New Roman"/>
          <w:color w:val="000000"/>
          <w:sz w:val="24"/>
          <w:szCs w:val="24"/>
        </w:rPr>
        <w:t xml:space="preserve"> lower limit set to 578.55 as anything lower considered bad data. Simply put, healthcare in the US even with a high deductible health plan would never be sold that cheap by any insurance provider.</w:t>
      </w:r>
    </w:p>
    <w:p w14:paraId="0D44E80E" w14:textId="77777777" w:rsidR="00716A55" w:rsidRDefault="004822DB">
      <w:pPr>
        <w:numPr>
          <w:ilvl w:val="0"/>
          <w:numId w:val="9"/>
        </w:numPr>
        <w:pBdr>
          <w:top w:val="nil"/>
          <w:left w:val="nil"/>
          <w:bottom w:val="nil"/>
          <w:right w:val="nil"/>
          <w:between w:val="nil"/>
        </w:pBdr>
        <w:spacing w:line="480" w:lineRule="auto"/>
        <w:jc w:val="both"/>
      </w:pPr>
      <w:r>
        <w:rPr>
          <w:rFonts w:ascii="Times New Roman" w:eastAsia="Times New Roman" w:hAnsi="Times New Roman" w:cs="Times New Roman"/>
          <w:color w:val="000000"/>
          <w:sz w:val="24"/>
          <w:szCs w:val="24"/>
        </w:rPr>
        <w:t>In regard to class v</w:t>
      </w:r>
      <w:r>
        <w:rPr>
          <w:rFonts w:ascii="Times New Roman" w:eastAsia="Times New Roman" w:hAnsi="Times New Roman" w:cs="Times New Roman"/>
          <w:color w:val="000000"/>
          <w:sz w:val="24"/>
          <w:szCs w:val="24"/>
        </w:rPr>
        <w:t>ariable replacements for nominal values, no transformation or replacement was applied.</w:t>
      </w:r>
    </w:p>
    <w:p w14:paraId="278713F7"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After using a replacement node to trim off any interval outliers and bad data, an impute node was appended. This node handled imputing values for the </w:t>
      </w:r>
      <w:proofErr w:type="spellStart"/>
      <w:r>
        <w:rPr>
          <w:rFonts w:ascii="Times New Roman" w:eastAsia="Times New Roman" w:hAnsi="Times New Roman" w:cs="Times New Roman"/>
          <w:sz w:val="24"/>
          <w:szCs w:val="24"/>
        </w:rPr>
        <w:t>preexisting_physic</w:t>
      </w:r>
      <w:r>
        <w:rPr>
          <w:rFonts w:ascii="Times New Roman" w:eastAsia="Times New Roman" w:hAnsi="Times New Roman" w:cs="Times New Roman"/>
          <w:sz w:val="24"/>
          <w:szCs w:val="24"/>
        </w:rPr>
        <w:t>ian_relationship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attribute </w:t>
      </w:r>
      <w:r>
        <w:rPr>
          <w:rFonts w:ascii="Times New Roman" w:eastAsia="Times New Roman" w:hAnsi="Times New Roman" w:cs="Times New Roman"/>
          <w:sz w:val="24"/>
          <w:szCs w:val="24"/>
        </w:rPr>
        <w:t>which had</w:t>
      </w:r>
      <w:r>
        <w:rPr>
          <w:rFonts w:ascii="Times New Roman" w:eastAsia="Times New Roman" w:hAnsi="Times New Roman" w:cs="Times New Roman"/>
          <w:color w:val="000000"/>
          <w:sz w:val="24"/>
          <w:szCs w:val="24"/>
        </w:rPr>
        <w:t xml:space="preserve"> 343 missing values,. That particular attribute suffered a data input integrity issue, indicating that it should further be reviewed by an application team in conjunction with the business analysts to determine a process</w:t>
      </w:r>
      <w:r>
        <w:rPr>
          <w:rFonts w:ascii="Times New Roman" w:eastAsia="Times New Roman" w:hAnsi="Times New Roman" w:cs="Times New Roman"/>
          <w:color w:val="000000"/>
          <w:sz w:val="24"/>
          <w:szCs w:val="24"/>
        </w:rPr>
        <w:t xml:space="preserve"> for ensuring a proper data enrichment strategy. Other attributes such as </w:t>
      </w:r>
      <w:proofErr w:type="spellStart"/>
      <w:r>
        <w:rPr>
          <w:rFonts w:ascii="Times New Roman" w:eastAsia="Times New Roman" w:hAnsi="Times New Roman" w:cs="Times New Roman"/>
          <w:color w:val="000000"/>
          <w:sz w:val="24"/>
          <w:szCs w:val="24"/>
        </w:rPr>
        <w:t>insured_hobbies</w:t>
      </w:r>
      <w:proofErr w:type="spellEnd"/>
      <w:r>
        <w:rPr>
          <w:rFonts w:ascii="Times New Roman" w:eastAsia="Times New Roman" w:hAnsi="Times New Roman" w:cs="Times New Roman"/>
          <w:color w:val="000000"/>
          <w:sz w:val="24"/>
          <w:szCs w:val="24"/>
        </w:rPr>
        <w:t xml:space="preserve"> would have benefited from imputing missing values, but that attribute was marked as rejected as it had too many nominal values without imputing to effectively utilize</w:t>
      </w:r>
      <w:r>
        <w:rPr>
          <w:rFonts w:ascii="Times New Roman" w:eastAsia="Times New Roman" w:hAnsi="Times New Roman" w:cs="Times New Roman"/>
          <w:color w:val="000000"/>
          <w:sz w:val="24"/>
          <w:szCs w:val="24"/>
        </w:rPr>
        <w:t xml:space="preserve"> the data for the purpose of this paper. </w:t>
      </w:r>
    </w:p>
    <w:p w14:paraId="0415AB06" w14:textId="77777777" w:rsidR="00716A55" w:rsidRDefault="004822D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Once the missing data was imputed to fill in the data density gaps, then the data was partitioned using a data partition node for a default allocation of 40% training, 30% validation, 30% test and connected to an </w:t>
      </w:r>
      <w:r>
        <w:rPr>
          <w:rFonts w:ascii="Times New Roman" w:eastAsia="Times New Roman" w:hAnsi="Times New Roman" w:cs="Times New Roman"/>
          <w:color w:val="000000"/>
          <w:sz w:val="24"/>
          <w:szCs w:val="24"/>
        </w:rPr>
        <w:t>auto-pruning decision tree. For a simple, easily understood model, the decision tree works perfectly to develop a predictive rule based model for flagging claims as potential fraud. S</w:t>
      </w:r>
      <w:r>
        <w:rPr>
          <w:rFonts w:ascii="Times New Roman" w:eastAsia="Times New Roman" w:hAnsi="Times New Roman" w:cs="Times New Roman"/>
          <w:sz w:val="24"/>
          <w:szCs w:val="24"/>
        </w:rPr>
        <w:t>ince,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n our experience,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 xml:space="preserve">esults of interactive, manual pruning </w:t>
      </w:r>
      <w:r>
        <w:rPr>
          <w:rFonts w:ascii="Times New Roman" w:eastAsia="Times New Roman" w:hAnsi="Times New Roman" w:cs="Times New Roman"/>
          <w:sz w:val="24"/>
          <w:szCs w:val="24"/>
        </w:rPr>
        <w:t>often</w:t>
      </w:r>
      <w:r>
        <w:rPr>
          <w:rFonts w:ascii="Times New Roman" w:eastAsia="Times New Roman" w:hAnsi="Times New Roman" w:cs="Times New Roman"/>
          <w:color w:val="000000"/>
          <w:sz w:val="24"/>
          <w:szCs w:val="24"/>
        </w:rPr>
        <w:t xml:space="preserve"> res</w:t>
      </w:r>
      <w:r>
        <w:rPr>
          <w:rFonts w:ascii="Times New Roman" w:eastAsia="Times New Roman" w:hAnsi="Times New Roman" w:cs="Times New Roman"/>
          <w:color w:val="000000"/>
          <w:sz w:val="24"/>
          <w:szCs w:val="24"/>
        </w:rPr>
        <w:t>ult</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 in a less efficient model, the generated tree was left with default conditions except for the following:</w:t>
      </w:r>
    </w:p>
    <w:p w14:paraId="4E4EB2CF" w14:textId="77777777" w:rsidR="00716A55" w:rsidRDefault="004822DB">
      <w:pPr>
        <w:numPr>
          <w:ilvl w:val="0"/>
          <w:numId w:val="10"/>
        </w:numPr>
        <w:pBdr>
          <w:top w:val="nil"/>
          <w:left w:val="nil"/>
          <w:bottom w:val="nil"/>
          <w:right w:val="nil"/>
          <w:between w:val="nil"/>
        </w:pBdr>
        <w:spacing w:after="0" w:line="480" w:lineRule="auto"/>
        <w:jc w:val="both"/>
      </w:pPr>
      <w:r>
        <w:rPr>
          <w:rFonts w:ascii="Times New Roman" w:eastAsia="Times New Roman" w:hAnsi="Times New Roman" w:cs="Times New Roman"/>
          <w:color w:val="000000"/>
          <w:sz w:val="24"/>
          <w:szCs w:val="24"/>
        </w:rPr>
        <w:t>Method was set to Largest to generate the most-accurate, full tree. As claims processing is generally not a speedy process, there is sufficient time to analyze for accuracy using the largest possible tree for accuracy</w:t>
      </w:r>
    </w:p>
    <w:p w14:paraId="3C2EA0CB" w14:textId="77777777" w:rsidR="00716A55" w:rsidRDefault="004822DB">
      <w:pPr>
        <w:numPr>
          <w:ilvl w:val="0"/>
          <w:numId w:val="10"/>
        </w:numPr>
        <w:pBdr>
          <w:top w:val="nil"/>
          <w:left w:val="nil"/>
          <w:bottom w:val="nil"/>
          <w:right w:val="nil"/>
          <w:between w:val="nil"/>
        </w:pBdr>
        <w:spacing w:line="480" w:lineRule="auto"/>
        <w:jc w:val="both"/>
      </w:pPr>
      <w:r>
        <w:rPr>
          <w:rFonts w:ascii="Times New Roman" w:eastAsia="Times New Roman" w:hAnsi="Times New Roman" w:cs="Times New Roman"/>
          <w:color w:val="000000"/>
          <w:sz w:val="24"/>
          <w:szCs w:val="24"/>
        </w:rPr>
        <w:lastRenderedPageBreak/>
        <w:t>Assessment Measure was set to misclass</w:t>
      </w:r>
      <w:r>
        <w:rPr>
          <w:rFonts w:ascii="Times New Roman" w:eastAsia="Times New Roman" w:hAnsi="Times New Roman" w:cs="Times New Roman"/>
          <w:color w:val="000000"/>
          <w:sz w:val="24"/>
          <w:szCs w:val="24"/>
        </w:rPr>
        <w:t xml:space="preserve">ification in order to reduce the number of false positives for our </w:t>
      </w:r>
      <w:proofErr w:type="spellStart"/>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 xml:space="preserve"> target.</w:t>
      </w:r>
    </w:p>
    <w:p w14:paraId="63DB4D4E"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seen in </w:t>
      </w:r>
      <w:hyperlink r:id="rId11" w:anchor="bookmark=kix.s3hu2gp1u11h">
        <w:r>
          <w:rPr>
            <w:rFonts w:ascii="Times New Roman" w:eastAsia="Times New Roman" w:hAnsi="Times New Roman" w:cs="Times New Roman"/>
            <w:color w:val="000000"/>
            <w:sz w:val="24"/>
            <w:szCs w:val="24"/>
            <w:u w:val="single"/>
          </w:rPr>
          <w:t>Appendix 2</w:t>
        </w:r>
      </w:hyperlink>
      <w:r>
        <w:rPr>
          <w:rFonts w:ascii="Times New Roman" w:eastAsia="Times New Roman" w:hAnsi="Times New Roman" w:cs="Times New Roman"/>
          <w:color w:val="000000"/>
          <w:sz w:val="24"/>
          <w:szCs w:val="24"/>
        </w:rPr>
        <w:t>, the incident se</w:t>
      </w:r>
      <w:r>
        <w:rPr>
          <w:rFonts w:ascii="Times New Roman" w:eastAsia="Times New Roman" w:hAnsi="Times New Roman" w:cs="Times New Roman"/>
          <w:color w:val="000000"/>
          <w:sz w:val="24"/>
          <w:szCs w:val="24"/>
        </w:rPr>
        <w:t>verity of any non-high nominal value has a high likelihood of not being a fraudulent claim.  As we are interrogating the largest tree, for brevity the state context was also considered and for any state other than North Carolina there was a strong likeliho</w:t>
      </w:r>
      <w:r>
        <w:rPr>
          <w:rFonts w:ascii="Times New Roman" w:eastAsia="Times New Roman" w:hAnsi="Times New Roman" w:cs="Times New Roman"/>
          <w:color w:val="000000"/>
          <w:sz w:val="24"/>
          <w:szCs w:val="24"/>
        </w:rPr>
        <w:t xml:space="preserve">od of non-fraudulent activity for non-high severity incidents. From the tree generated, it is also feasible to generate rules for auto-review by a claims adjuster. If the incident severity is high, that should require review; however, if in addition a new </w:t>
      </w:r>
      <w:r>
        <w:rPr>
          <w:rFonts w:ascii="Times New Roman" w:eastAsia="Times New Roman" w:hAnsi="Times New Roman" w:cs="Times New Roman"/>
          <w:color w:val="000000"/>
          <w:sz w:val="24"/>
          <w:szCs w:val="24"/>
        </w:rPr>
        <w:t>prescription is prescribed, then the claim should definitely require manual review and approval by a claims adjuster.</w:t>
      </w:r>
    </w:p>
    <w:p w14:paraId="6F31A710"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Enterprise Miner or another predictive analytics tool to analyze a large claims dataset provides easy, functional capabilities to ge</w:t>
      </w:r>
      <w:r>
        <w:rPr>
          <w:rFonts w:ascii="Times New Roman" w:eastAsia="Times New Roman" w:hAnsi="Times New Roman" w:cs="Times New Roman"/>
          <w:color w:val="000000"/>
          <w:sz w:val="24"/>
          <w:szCs w:val="24"/>
        </w:rPr>
        <w:t>nerate models. As decision trees are easily understood, the focus of the POC utilized a decision tree model. For future refinement, the recommendation would be to analyze the data at least quarterly by an actuary working in-parallel with a business analyst</w:t>
      </w:r>
      <w:r>
        <w:rPr>
          <w:rFonts w:ascii="Times New Roman" w:eastAsia="Times New Roman" w:hAnsi="Times New Roman" w:cs="Times New Roman"/>
          <w:color w:val="000000"/>
          <w:sz w:val="24"/>
          <w:szCs w:val="24"/>
        </w:rPr>
        <w:t xml:space="preserve"> to determine if the </w:t>
      </w:r>
      <w:r>
        <w:rPr>
          <w:rFonts w:ascii="Times New Roman" w:eastAsia="Times New Roman" w:hAnsi="Times New Roman" w:cs="Times New Roman"/>
          <w:sz w:val="24"/>
          <w:szCs w:val="24"/>
        </w:rPr>
        <w:t>ruleset</w:t>
      </w:r>
      <w:r>
        <w:rPr>
          <w:rFonts w:ascii="Times New Roman" w:eastAsia="Times New Roman" w:hAnsi="Times New Roman" w:cs="Times New Roman"/>
          <w:color w:val="000000"/>
          <w:sz w:val="24"/>
          <w:szCs w:val="24"/>
        </w:rPr>
        <w:t xml:space="preserve"> needs further </w:t>
      </w:r>
      <w:r>
        <w:rPr>
          <w:rFonts w:ascii="Times New Roman" w:eastAsia="Times New Roman" w:hAnsi="Times New Roman" w:cs="Times New Roman"/>
          <w:sz w:val="24"/>
          <w:szCs w:val="24"/>
        </w:rPr>
        <w:t>refinement</w:t>
      </w:r>
      <w:r>
        <w:rPr>
          <w:rFonts w:ascii="Times New Roman" w:eastAsia="Times New Roman" w:hAnsi="Times New Roman" w:cs="Times New Roman"/>
          <w:color w:val="000000"/>
          <w:sz w:val="24"/>
          <w:szCs w:val="24"/>
        </w:rPr>
        <w:t xml:space="preserve">. </w:t>
      </w:r>
    </w:p>
    <w:p w14:paraId="5EE30912"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Alternatively, without a dataset of claims already known as fraudulent or without a definitive target variable, then a cluster analysis exploration would be used to generate classification group driven by rules. For each of the classification groups by dem</w:t>
      </w:r>
      <w:r>
        <w:rPr>
          <w:rFonts w:ascii="Times New Roman" w:eastAsia="Times New Roman" w:hAnsi="Times New Roman" w:cs="Times New Roman"/>
          <w:color w:val="000000"/>
          <w:sz w:val="24"/>
          <w:szCs w:val="24"/>
        </w:rPr>
        <w:t xml:space="preserve">ographics, the claims data would then be analyzed to find a risk factor associated with fraud. If any demographic clusters tend to file more fraudulent claims, then that demographic group, set of physician offices, or insured individuals would have claims </w:t>
      </w:r>
      <w:r>
        <w:rPr>
          <w:rFonts w:ascii="Times New Roman" w:eastAsia="Times New Roman" w:hAnsi="Times New Roman" w:cs="Times New Roman"/>
          <w:color w:val="000000"/>
          <w:sz w:val="24"/>
          <w:szCs w:val="24"/>
        </w:rPr>
        <w:t xml:space="preserve">scrutinized to avoid monetary losses paying out on invalid requests. However, given that there is already a target variable defined in </w:t>
      </w:r>
      <w:r>
        <w:rPr>
          <w:rFonts w:ascii="Times New Roman" w:eastAsia="Times New Roman" w:hAnsi="Times New Roman" w:cs="Times New Roman"/>
          <w:color w:val="000000"/>
          <w:sz w:val="24"/>
          <w:szCs w:val="24"/>
        </w:rPr>
        <w:lastRenderedPageBreak/>
        <w:t xml:space="preserve">the sample dataset converted from auto claims to healthcare claims, the need to partition out the data into clusters was </w:t>
      </w:r>
      <w:r>
        <w:rPr>
          <w:rFonts w:ascii="Times New Roman" w:eastAsia="Times New Roman" w:hAnsi="Times New Roman" w:cs="Times New Roman"/>
          <w:color w:val="000000"/>
          <w:sz w:val="24"/>
          <w:szCs w:val="24"/>
        </w:rPr>
        <w:t>not prevalent.</w:t>
      </w:r>
    </w:p>
    <w:p w14:paraId="46DFE5E9"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test dataset, a few results were observed. First, with the decision tree method as assessment, the misclassification rate is at </w:t>
      </w:r>
      <w:hyperlink r:id="rId12" w:anchor="bookmark=id.g1xkqenjlc48">
        <w:r>
          <w:rPr>
            <w:rFonts w:ascii="Times New Roman" w:eastAsia="Times New Roman" w:hAnsi="Times New Roman" w:cs="Times New Roman"/>
            <w:color w:val="000000"/>
            <w:sz w:val="24"/>
            <w:szCs w:val="24"/>
            <w:u w:val="single"/>
          </w:rPr>
          <w:t>20</w:t>
        </w:r>
      </w:hyperlink>
      <w:r>
        <w:rPr>
          <w:rFonts w:ascii="Times New Roman" w:eastAsia="Times New Roman" w:hAnsi="Times New Roman" w:cs="Times New Roman"/>
          <w:color w:val="000000"/>
          <w:sz w:val="24"/>
          <w:szCs w:val="24"/>
        </w:rPr>
        <w:t>% during validation. Furthermore, while the node rules are not as precise in this dataset for predicting definitive fraud, it is possible to predict with 92% certainty non-fraud if the incident occurs in SC, NY, WV, VA, PA a</w:t>
      </w:r>
      <w:r>
        <w:rPr>
          <w:rFonts w:ascii="Times New Roman" w:eastAsia="Times New Roman" w:hAnsi="Times New Roman" w:cs="Times New Roman"/>
          <w:color w:val="000000"/>
          <w:sz w:val="24"/>
          <w:szCs w:val="24"/>
        </w:rPr>
        <w:t xml:space="preserve">nd the severity of the incident low, urgent, or trivial for the 250 observations. For predicting fraud, 71% of the new prescriptions with high severity will be classified as fraudulent; while only 28% of the claims will be fraudulent for NC claims of low, </w:t>
      </w:r>
      <w:r>
        <w:rPr>
          <w:rFonts w:ascii="Times New Roman" w:eastAsia="Times New Roman" w:hAnsi="Times New Roman" w:cs="Times New Roman"/>
          <w:color w:val="000000"/>
          <w:sz w:val="24"/>
          <w:szCs w:val="24"/>
        </w:rPr>
        <w:t>urgent, or trivial severity.</w:t>
      </w:r>
    </w:p>
    <w:p w14:paraId="1683E47A" w14:textId="77777777" w:rsidR="00716A55" w:rsidRDefault="004822DB">
      <w:pPr>
        <w:pStyle w:val="Heading1"/>
        <w:spacing w:line="480" w:lineRule="auto"/>
      </w:pPr>
      <w:bookmarkStart w:id="6" w:name="_holgqwfqy2xa" w:colFirst="0" w:colLast="0"/>
      <w:bookmarkEnd w:id="6"/>
      <w:r>
        <w:t xml:space="preserve">H) </w:t>
      </w:r>
      <w:r>
        <w:t>Conclusion</w:t>
      </w:r>
    </w:p>
    <w:p w14:paraId="5CE0E513" w14:textId="77777777" w:rsidR="00716A55" w:rsidRDefault="004822DB">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various types of fraud covered, from identity theft based claims to invalid physician submitted claims, the industry has a wide range of avenues to utilize predictive analytics for fraud detection. As th</w:t>
      </w:r>
      <w:r>
        <w:rPr>
          <w:rFonts w:ascii="Times New Roman" w:eastAsia="Times New Roman" w:hAnsi="Times New Roman" w:cs="Times New Roman"/>
          <w:sz w:val="24"/>
          <w:szCs w:val="24"/>
        </w:rPr>
        <w:t>e conceptual approach described, even a simple decision tree can be utilized to handle exception based scenarios requiring further review and minimizing the scrutiny needed to analyze the details of every claim. Furthermore, if such a process was implement</w:t>
      </w:r>
      <w:r>
        <w:rPr>
          <w:rFonts w:ascii="Times New Roman" w:eastAsia="Times New Roman" w:hAnsi="Times New Roman" w:cs="Times New Roman"/>
          <w:sz w:val="24"/>
          <w:szCs w:val="24"/>
        </w:rPr>
        <w:t>ed within a clearinghouse with access to aggregated information across multiple insurance providers, then an extremely accurate model can be developed using all of that data available. With the minimum impact (3%) of fraudulent claims estimated at $77 bill</w:t>
      </w:r>
      <w:r>
        <w:rPr>
          <w:rFonts w:ascii="Times New Roman" w:eastAsia="Times New Roman" w:hAnsi="Times New Roman" w:cs="Times New Roman"/>
          <w:sz w:val="24"/>
          <w:szCs w:val="24"/>
        </w:rPr>
        <w:t>ion and a rough maximum impact (10%) at $259 billion, all insurance providers need to mitigate this damage through an applied predictive analytics model.</w:t>
      </w:r>
    </w:p>
    <w:p w14:paraId="3AC0F20E" w14:textId="77777777" w:rsidR="00716A55" w:rsidRDefault="004822DB">
      <w:r>
        <w:br w:type="page"/>
      </w:r>
    </w:p>
    <w:p w14:paraId="1712C8FF" w14:textId="77777777" w:rsidR="00716A55" w:rsidRDefault="004822DB">
      <w:pPr>
        <w:rPr>
          <w:rFonts w:ascii="Times New Roman" w:eastAsia="Times New Roman" w:hAnsi="Times New Roman" w:cs="Times New Roman"/>
        </w:rPr>
      </w:pPr>
      <w:r>
        <w:rPr>
          <w:rFonts w:ascii="Times New Roman" w:eastAsia="Times New Roman" w:hAnsi="Times New Roman" w:cs="Times New Roman"/>
          <w:b/>
          <w:i/>
          <w:color w:val="000000"/>
          <w:u w:val="single"/>
        </w:rPr>
        <w:lastRenderedPageBreak/>
        <w:t>Dataset</w:t>
      </w:r>
    </w:p>
    <w:p w14:paraId="46B5A42C"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CSV File</w:t>
      </w:r>
    </w:p>
    <w:p w14:paraId="4167F50A"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3">
        <w:r>
          <w:rPr>
            <w:rFonts w:ascii="Times New Roman" w:eastAsia="Times New Roman" w:hAnsi="Times New Roman" w:cs="Times New Roman"/>
            <w:i/>
            <w:color w:val="1155CC"/>
            <w:sz w:val="24"/>
            <w:szCs w:val="24"/>
            <w:u w:val="single"/>
          </w:rPr>
          <w:t>https://drive.google.com/open?id=1hGdKmZkv2pGczDcX0Jy8q7uoCkYwNPHi</w:t>
        </w:r>
      </w:hyperlink>
    </w:p>
    <w:p w14:paraId="4C305E4B"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SAS Table</w:t>
      </w:r>
    </w:p>
    <w:p w14:paraId="769E3F08"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1155CC"/>
            <w:sz w:val="24"/>
            <w:szCs w:val="24"/>
            <w:u w:val="single"/>
          </w:rPr>
          <w:t>https://d</w:t>
        </w:r>
        <w:r>
          <w:rPr>
            <w:rFonts w:ascii="Times New Roman" w:eastAsia="Times New Roman" w:hAnsi="Times New Roman" w:cs="Times New Roman"/>
            <w:color w:val="1155CC"/>
            <w:sz w:val="24"/>
            <w:szCs w:val="24"/>
            <w:u w:val="single"/>
          </w:rPr>
          <w:t>rive.google.com/open?id=1ECn1QB9pKHV1COtEEHhwba_rNPrgZsOP</w:t>
        </w:r>
      </w:hyperlink>
    </w:p>
    <w:p w14:paraId="2FE5034E"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EM File</w:t>
      </w:r>
    </w:p>
    <w:p w14:paraId="7FBC824D"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5">
        <w:r>
          <w:rPr>
            <w:rFonts w:ascii="Times New Roman" w:eastAsia="Times New Roman" w:hAnsi="Times New Roman" w:cs="Times New Roman"/>
            <w:color w:val="1155CC"/>
            <w:sz w:val="24"/>
            <w:szCs w:val="24"/>
            <w:u w:val="single"/>
          </w:rPr>
          <w:t>https://drive.google.com/open?id=1MU15SySI8dBUTJ-NgOK_k8voYxhrRgok</w:t>
        </w:r>
      </w:hyperlink>
    </w:p>
    <w:p w14:paraId="7DDFC24C"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Label</w:t>
      </w:r>
    </w:p>
    <w:p w14:paraId="0C2DE768"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56A0062" wp14:editId="5E9D96C7">
            <wp:extent cx="3790950" cy="5770245"/>
            <wp:effectExtent l="0" t="0" r="0" b="0"/>
            <wp:docPr id="3" name="image7.png" descr="https://lh6.googleusercontent.com/_0FkYYeYS40Xzeq52nbRfSwvIZ6yu1Sm8FIZYh9VQJQulXfM7aiEXOK6M7x8i2xqwRuXyYoeLqhH-U_ybiUzMk1kUyPPhWo4Hlvs-9GIRDP9Okqr0E7YMIWP23iQkuZGKDAlyGey"/>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_0FkYYeYS40Xzeq52nbRfSwvIZ6yu1Sm8FIZYh9VQJQulXfM7aiEXOK6M7x8i2xqwRuXyYoeLqhH-U_ybiUzMk1kUyPPhWo4Hlvs-9GIRDP9Okqr0E7YMIWP23iQkuZGKDAlyGey"/>
                    <pic:cNvPicPr preferRelativeResize="0"/>
                  </pic:nvPicPr>
                  <pic:blipFill>
                    <a:blip r:embed="rId16"/>
                    <a:srcRect/>
                    <a:stretch>
                      <a:fillRect/>
                    </a:stretch>
                  </pic:blipFill>
                  <pic:spPr>
                    <a:xfrm>
                      <a:off x="0" y="0"/>
                      <a:ext cx="3790950" cy="5770245"/>
                    </a:xfrm>
                    <a:prstGeom prst="rect">
                      <a:avLst/>
                    </a:prstGeom>
                    <a:ln/>
                  </pic:spPr>
                </pic:pic>
              </a:graphicData>
            </a:graphic>
          </wp:inline>
        </w:drawing>
      </w:r>
    </w:p>
    <w:p w14:paraId="581335C1"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Appendix 1</w:t>
      </w:r>
    </w:p>
    <w:p w14:paraId="7402170F"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EAE2EB3" wp14:editId="5B428422">
            <wp:extent cx="2211070" cy="3952875"/>
            <wp:effectExtent l="0" t="0" r="0" b="0"/>
            <wp:docPr id="2" name="image4.png" descr="https://lh6.googleusercontent.com/bFtBk_Cx_8mM-ldh4tmT4Gpv_vYZ3eVDNgFVESvKKWMOuNlL0VNo-7so5TJFgBY8bGRSJRkx5zH0rpxiGNsn_rUvVEHJd4JQ4zR-j9eF7U8KZt8MYQ7aaapVo9BO3DChE2S3w76h"/>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bFtBk_Cx_8mM-ldh4tmT4Gpv_vYZ3eVDNgFVESvKKWMOuNlL0VNo-7so5TJFgBY8bGRSJRkx5zH0rpxiGNsn_rUvVEHJd4JQ4zR-j9eF7U8KZt8MYQ7aaapVo9BO3DChE2S3w76h"/>
                    <pic:cNvPicPr preferRelativeResize="0"/>
                  </pic:nvPicPr>
                  <pic:blipFill>
                    <a:blip r:embed="rId17"/>
                    <a:srcRect/>
                    <a:stretch>
                      <a:fillRect/>
                    </a:stretch>
                  </pic:blipFill>
                  <pic:spPr>
                    <a:xfrm>
                      <a:off x="0" y="0"/>
                      <a:ext cx="2211070" cy="3952875"/>
                    </a:xfrm>
                    <a:prstGeom prst="rect">
                      <a:avLst/>
                    </a:prstGeom>
                    <a:ln/>
                  </pic:spPr>
                </pic:pic>
              </a:graphicData>
            </a:graphic>
          </wp:inline>
        </w:drawing>
      </w:r>
    </w:p>
    <w:p w14:paraId="0F3B9483" w14:textId="77777777" w:rsidR="00716A55" w:rsidRDefault="004822DB">
      <w:pPr>
        <w:rPr>
          <w:rFonts w:ascii="Times New Roman" w:eastAsia="Times New Roman" w:hAnsi="Times New Roman" w:cs="Times New Roman"/>
          <w:b/>
          <w:color w:val="000000"/>
          <w:sz w:val="24"/>
          <w:szCs w:val="24"/>
        </w:rPr>
      </w:pPr>
      <w:r>
        <w:br w:type="page"/>
      </w:r>
    </w:p>
    <w:p w14:paraId="7BBD1504"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Appendix 2</w:t>
      </w:r>
    </w:p>
    <w:p w14:paraId="1FDC39D5"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1D3F6E7" wp14:editId="5BB3BAA2">
            <wp:extent cx="6285230" cy="3241040"/>
            <wp:effectExtent l="0" t="0" r="0" b="0"/>
            <wp:docPr id="5" name="image6.png" descr="https://lh4.googleusercontent.com/DDpJ0zMuarpmwtXGV-tMPB_nI-4P5gPxfkTIkNdBWlARur5SWgz7_Vibtbl3yUT-PhacI4YcIdBQaKXXKDIxztf1jB_DRUPFkdyH1xvMzzFCrgFz-8OTkj3_04b60H9MaNc6-sx1"/>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DDpJ0zMuarpmwtXGV-tMPB_nI-4P5gPxfkTIkNdBWlARur5SWgz7_Vibtbl3yUT-PhacI4YcIdBQaKXXKDIxztf1jB_DRUPFkdyH1xvMzzFCrgFz-8OTkj3_04b60H9MaNc6-sx1"/>
                    <pic:cNvPicPr preferRelativeResize="0"/>
                  </pic:nvPicPr>
                  <pic:blipFill>
                    <a:blip r:embed="rId18"/>
                    <a:srcRect/>
                    <a:stretch>
                      <a:fillRect/>
                    </a:stretch>
                  </pic:blipFill>
                  <pic:spPr>
                    <a:xfrm>
                      <a:off x="0" y="0"/>
                      <a:ext cx="6285230" cy="3241040"/>
                    </a:xfrm>
                    <a:prstGeom prst="rect">
                      <a:avLst/>
                    </a:prstGeom>
                    <a:ln/>
                  </pic:spPr>
                </pic:pic>
              </a:graphicData>
            </a:graphic>
          </wp:inline>
        </w:drawing>
      </w:r>
    </w:p>
    <w:p w14:paraId="5EA37220" w14:textId="77777777" w:rsidR="00716A55" w:rsidRDefault="004822DB">
      <w:pPr>
        <w:rPr>
          <w:rFonts w:ascii="Times New Roman" w:eastAsia="Times New Roman" w:hAnsi="Times New Roman" w:cs="Times New Roman"/>
          <w:b/>
          <w:color w:val="000000"/>
          <w:sz w:val="24"/>
          <w:szCs w:val="24"/>
        </w:rPr>
      </w:pPr>
      <w:r>
        <w:br w:type="page"/>
      </w:r>
    </w:p>
    <w:p w14:paraId="3F5E15FC"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Appendix 3</w:t>
      </w:r>
    </w:p>
    <w:p w14:paraId="177E2EA7"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0BB3F8" wp14:editId="7103DFC5">
            <wp:extent cx="6059170" cy="1313815"/>
            <wp:effectExtent l="0" t="0" r="0" b="0"/>
            <wp:docPr id="4" name="image3.png" descr="https://lh5.googleusercontent.com/EBBCicfLjjftbyOh3Yw_WnLH9XqdXQIMmJiq2DN_szcje0DSg169cSCrZ5gr5MjTXGyPRV91o6dOWEY2dmkKwQ467U2gGXgEG_HUpZxNl6Vp7QhGkwZ_rl9QrJe7Dh-23aei1c9v"/>
            <wp:cNvGraphicFramePr/>
            <a:graphic xmlns:a="http://schemas.openxmlformats.org/drawingml/2006/main">
              <a:graphicData uri="http://schemas.openxmlformats.org/drawingml/2006/picture">
                <pic:pic xmlns:pic="http://schemas.openxmlformats.org/drawingml/2006/picture">
                  <pic:nvPicPr>
                    <pic:cNvPr id="0" name="image3.png" descr="https://lh5.googleusercontent.com/EBBCicfLjjftbyOh3Yw_WnLH9XqdXQIMmJiq2DN_szcje0DSg169cSCrZ5gr5MjTXGyPRV91o6dOWEY2dmkKwQ467U2gGXgEG_HUpZxNl6Vp7QhGkwZ_rl9QrJe7Dh-23aei1c9v"/>
                    <pic:cNvPicPr preferRelativeResize="0"/>
                  </pic:nvPicPr>
                  <pic:blipFill>
                    <a:blip r:embed="rId19"/>
                    <a:srcRect/>
                    <a:stretch>
                      <a:fillRect/>
                    </a:stretch>
                  </pic:blipFill>
                  <pic:spPr>
                    <a:xfrm>
                      <a:off x="0" y="0"/>
                      <a:ext cx="6059170" cy="1313815"/>
                    </a:xfrm>
                    <a:prstGeom prst="rect">
                      <a:avLst/>
                    </a:prstGeom>
                    <a:ln/>
                  </pic:spPr>
                </pic:pic>
              </a:graphicData>
            </a:graphic>
          </wp:inline>
        </w:drawing>
      </w:r>
    </w:p>
    <w:p w14:paraId="5ED088CB" w14:textId="77777777" w:rsidR="00716A55" w:rsidRDefault="00716A55"/>
    <w:p w14:paraId="011CC292" w14:textId="77777777" w:rsidR="00716A55" w:rsidRDefault="004822DB">
      <w:pPr>
        <w:rPr>
          <w:rFonts w:ascii="Times New Roman" w:eastAsia="Times New Roman" w:hAnsi="Times New Roman" w:cs="Times New Roman"/>
          <w:b/>
          <w:color w:val="000000"/>
          <w:sz w:val="24"/>
          <w:szCs w:val="24"/>
        </w:rPr>
      </w:pPr>
      <w:r>
        <w:br w:type="page"/>
      </w:r>
    </w:p>
    <w:p w14:paraId="476100F4"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Appendix 4</w:t>
      </w:r>
    </w:p>
    <w:p w14:paraId="6F6E6708"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CAC8EFD" wp14:editId="42F654A7">
            <wp:extent cx="5943600" cy="1990725"/>
            <wp:effectExtent l="0" t="0" r="0" b="0"/>
            <wp:docPr id="7" name="image5.png" descr="https://lh4.googleusercontent.com/n7FdMmRP8l6k4F9qtSBFehgMx5GQqA7T7fdZo_UwjhJ1HeBuuI8HVR9O6d_GgI9IGteLvX-aDULSdoM7yPWM-AnZxxBO7ddRecFsEJy1880efHqVfKJdgxBu7OoVA0kAiZHOi4_G"/>
            <wp:cNvGraphicFramePr/>
            <a:graphic xmlns:a="http://schemas.openxmlformats.org/drawingml/2006/main">
              <a:graphicData uri="http://schemas.openxmlformats.org/drawingml/2006/picture">
                <pic:pic xmlns:pic="http://schemas.openxmlformats.org/drawingml/2006/picture">
                  <pic:nvPicPr>
                    <pic:cNvPr id="0" name="image5.png" descr="https://lh4.googleusercontent.com/n7FdMmRP8l6k4F9qtSBFehgMx5GQqA7T7fdZo_UwjhJ1HeBuuI8HVR9O6d_GgI9IGteLvX-aDULSdoM7yPWM-AnZxxBO7ddRecFsEJy1880efHqVfKJdgxBu7OoVA0kAiZHOi4_G"/>
                    <pic:cNvPicPr preferRelativeResize="0"/>
                  </pic:nvPicPr>
                  <pic:blipFill>
                    <a:blip r:embed="rId20"/>
                    <a:srcRect/>
                    <a:stretch>
                      <a:fillRect/>
                    </a:stretch>
                  </pic:blipFill>
                  <pic:spPr>
                    <a:xfrm>
                      <a:off x="0" y="0"/>
                      <a:ext cx="5943600" cy="1990725"/>
                    </a:xfrm>
                    <a:prstGeom prst="rect">
                      <a:avLst/>
                    </a:prstGeom>
                    <a:ln/>
                  </pic:spPr>
                </pic:pic>
              </a:graphicData>
            </a:graphic>
          </wp:inline>
        </w:drawing>
      </w:r>
    </w:p>
    <w:p w14:paraId="797393C4" w14:textId="77777777" w:rsidR="00716A55" w:rsidRDefault="00716A55"/>
    <w:p w14:paraId="61F8BBC4" w14:textId="77777777" w:rsidR="00716A55" w:rsidRDefault="004822DB">
      <w:pPr>
        <w:rPr>
          <w:rFonts w:ascii="Times New Roman" w:eastAsia="Times New Roman" w:hAnsi="Times New Roman" w:cs="Times New Roman"/>
          <w:b/>
          <w:color w:val="000000"/>
          <w:sz w:val="24"/>
          <w:szCs w:val="24"/>
        </w:rPr>
      </w:pPr>
      <w:r>
        <w:br w:type="page"/>
      </w:r>
    </w:p>
    <w:p w14:paraId="1E4827E5"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Appendix 5</w:t>
      </w:r>
    </w:p>
    <w:p w14:paraId="512F3FED"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F1A7536" wp14:editId="350FA40F">
            <wp:extent cx="6690360" cy="1354455"/>
            <wp:effectExtent l="0" t="0" r="0" b="0"/>
            <wp:docPr id="6" name="image9.png" descr="https://lh3.googleusercontent.com/MzQYoWooCUGyxRnLde9M7fhytIstGrwlbsPw0M6aTS0qb8Q_y7O4RJwQTbogmh66w3Ot0ojZYCq9el723_wZBcz5_vot7OK6w7m99ublZIneRed8dHqW6rifXhad4tqBstu_IkWF"/>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MzQYoWooCUGyxRnLde9M7fhytIstGrwlbsPw0M6aTS0qb8Q_y7O4RJwQTbogmh66w3Ot0ojZYCq9el723_wZBcz5_vot7OK6w7m99ublZIneRed8dHqW6rifXhad4tqBstu_IkWF"/>
                    <pic:cNvPicPr preferRelativeResize="0"/>
                  </pic:nvPicPr>
                  <pic:blipFill>
                    <a:blip r:embed="rId21"/>
                    <a:srcRect/>
                    <a:stretch>
                      <a:fillRect/>
                    </a:stretch>
                  </pic:blipFill>
                  <pic:spPr>
                    <a:xfrm>
                      <a:off x="0" y="0"/>
                      <a:ext cx="6690360" cy="1354455"/>
                    </a:xfrm>
                    <a:prstGeom prst="rect">
                      <a:avLst/>
                    </a:prstGeom>
                    <a:ln/>
                  </pic:spPr>
                </pic:pic>
              </a:graphicData>
            </a:graphic>
          </wp:inline>
        </w:drawing>
      </w:r>
    </w:p>
    <w:p w14:paraId="1CB448BB" w14:textId="77777777" w:rsidR="00716A55" w:rsidRDefault="00716A55"/>
    <w:p w14:paraId="4B56FB69" w14:textId="77777777" w:rsidR="00716A55" w:rsidRDefault="004822DB">
      <w:pPr>
        <w:rPr>
          <w:rFonts w:ascii="Times New Roman" w:eastAsia="Times New Roman" w:hAnsi="Times New Roman" w:cs="Times New Roman"/>
          <w:color w:val="000000"/>
          <w:sz w:val="24"/>
          <w:szCs w:val="24"/>
        </w:rPr>
      </w:pPr>
      <w:r>
        <w:br w:type="page"/>
      </w:r>
    </w:p>
    <w:p w14:paraId="62F7BDF0"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Appendix 6 </w:t>
      </w:r>
    </w:p>
    <w:p w14:paraId="553E9560"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415AEA3" wp14:editId="3ED97F3A">
            <wp:extent cx="3790950" cy="3790950"/>
            <wp:effectExtent l="0" t="0" r="0" b="0"/>
            <wp:docPr id="9" name="image1.png" descr="https://lh3.googleusercontent.com/U2NRuxz_aLoMGBGokbUjcsQyWxJnGegOOtRt1bFZ8SqwKuNqZBhPbVmYsG8l4qGdBRAqyPLofvDZfdQXq_2KzGzKgUEOYmRy01ahMyei_tdBMu5CftgRldOCK9q7OdRazJ3IsGIF"/>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U2NRuxz_aLoMGBGokbUjcsQyWxJnGegOOtRt1bFZ8SqwKuNqZBhPbVmYsG8l4qGdBRAqyPLofvDZfdQXq_2KzGzKgUEOYmRy01ahMyei_tdBMu5CftgRldOCK9q7OdRazJ3IsGIF"/>
                    <pic:cNvPicPr preferRelativeResize="0"/>
                  </pic:nvPicPr>
                  <pic:blipFill>
                    <a:blip r:embed="rId22"/>
                    <a:srcRect/>
                    <a:stretch>
                      <a:fillRect/>
                    </a:stretch>
                  </pic:blipFill>
                  <pic:spPr>
                    <a:xfrm>
                      <a:off x="0" y="0"/>
                      <a:ext cx="3790950" cy="3790950"/>
                    </a:xfrm>
                    <a:prstGeom prst="rect">
                      <a:avLst/>
                    </a:prstGeom>
                    <a:ln/>
                  </pic:spPr>
                </pic:pic>
              </a:graphicData>
            </a:graphic>
          </wp:inline>
        </w:drawing>
      </w:r>
    </w:p>
    <w:p w14:paraId="5CF56102" w14:textId="77777777" w:rsidR="00716A55" w:rsidRDefault="00716A55"/>
    <w:p w14:paraId="4C978176" w14:textId="77777777" w:rsidR="00716A55" w:rsidRDefault="004822DB">
      <w:pPr>
        <w:rPr>
          <w:rFonts w:ascii="Times New Roman" w:eastAsia="Times New Roman" w:hAnsi="Times New Roman" w:cs="Times New Roman"/>
          <w:color w:val="000000"/>
          <w:sz w:val="24"/>
          <w:szCs w:val="24"/>
        </w:rPr>
      </w:pPr>
      <w:r>
        <w:br w:type="page"/>
      </w:r>
    </w:p>
    <w:p w14:paraId="6B4E6FBF"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Appendix 7</w:t>
      </w:r>
    </w:p>
    <w:p w14:paraId="3B21D119" w14:textId="77777777" w:rsidR="00716A55" w:rsidRDefault="004822D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F2B002" wp14:editId="515711B2">
            <wp:extent cx="5017770" cy="7361555"/>
            <wp:effectExtent l="0" t="0" r="0" b="0"/>
            <wp:docPr id="8" name="image2.png" descr="https://lh4.googleusercontent.com/uShLqUGhALKvCN18YJmKM61dCADwGDZ50Mx_RWNa_vbKTr-XXiXiFAf5Ix4MaWW0iqMlME9clYvC-2PbLhANrL9hsNfGW_6tuMLHk7U2g8gkigr7LgnQ3XfH03BZEaKDPP2zoloa"/>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uShLqUGhALKvCN18YJmKM61dCADwGDZ50Mx_RWNa_vbKTr-XXiXiFAf5Ix4MaWW0iqMlME9clYvC-2PbLhANrL9hsNfGW_6tuMLHk7U2g8gkigr7LgnQ3XfH03BZEaKDPP2zoloa"/>
                    <pic:cNvPicPr preferRelativeResize="0"/>
                  </pic:nvPicPr>
                  <pic:blipFill>
                    <a:blip r:embed="rId23"/>
                    <a:srcRect/>
                    <a:stretch>
                      <a:fillRect/>
                    </a:stretch>
                  </pic:blipFill>
                  <pic:spPr>
                    <a:xfrm>
                      <a:off x="0" y="0"/>
                      <a:ext cx="5017770" cy="7361555"/>
                    </a:xfrm>
                    <a:prstGeom prst="rect">
                      <a:avLst/>
                    </a:prstGeom>
                    <a:ln/>
                  </pic:spPr>
                </pic:pic>
              </a:graphicData>
            </a:graphic>
          </wp:inline>
        </w:drawing>
      </w:r>
    </w:p>
    <w:p w14:paraId="1B5F7657" w14:textId="77777777" w:rsidR="00716A55" w:rsidRDefault="004822DB">
      <w:pPr>
        <w:rPr>
          <w:rFonts w:ascii="Times New Roman" w:eastAsia="Times New Roman" w:hAnsi="Times New Roman" w:cs="Times New Roman"/>
          <w:color w:val="000000"/>
          <w:sz w:val="24"/>
          <w:szCs w:val="24"/>
        </w:rPr>
      </w:pPr>
      <w:r>
        <w:br w:type="page"/>
      </w:r>
    </w:p>
    <w:p w14:paraId="384B9B4F" w14:textId="77777777" w:rsidR="00716A55" w:rsidRDefault="004822DB">
      <w:pPr>
        <w:pStyle w:val="Heading1"/>
        <w:spacing w:line="480" w:lineRule="auto"/>
        <w:rPr>
          <w:sz w:val="24"/>
          <w:szCs w:val="24"/>
        </w:rPr>
      </w:pPr>
      <w:bookmarkStart w:id="7" w:name="_q2473q3pm40" w:colFirst="0" w:colLast="0"/>
      <w:bookmarkEnd w:id="7"/>
      <w:r>
        <w:lastRenderedPageBreak/>
        <w:t xml:space="preserve">I) </w:t>
      </w:r>
      <w:r>
        <w:t>References</w:t>
      </w:r>
    </w:p>
    <w:p w14:paraId="4791E5EA"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Advanced Analytics for Fraud, Waste, and Abuse Detection. (2018). Retrieved from </w:t>
      </w:r>
      <w:hyperlink r:id="rId24">
        <w:r>
          <w:rPr>
            <w:rFonts w:ascii="Times New Roman" w:eastAsia="Times New Roman" w:hAnsi="Times New Roman" w:cs="Times New Roman"/>
            <w:color w:val="1155CC"/>
            <w:sz w:val="24"/>
            <w:szCs w:val="24"/>
            <w:highlight w:val="white"/>
            <w:u w:val="single"/>
          </w:rPr>
          <w:t>https://s3.amazonaws.com/cdn.ayasdi.com/wp-content/uploads/2015/06/02151543/AYASDI-Advanced-Anaylytics-for-Fraud-Waste-and-Abuse-Detection-WP-071217V01.pdf</w:t>
        </w:r>
      </w:hyperlink>
    </w:p>
    <w:p w14:paraId="432E0F09"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Background on: Insurance fraud | III. (2018). Retrieved from </w:t>
      </w:r>
      <w:hyperlink r:id="rId25">
        <w:r>
          <w:rPr>
            <w:rFonts w:ascii="Times New Roman" w:eastAsia="Times New Roman" w:hAnsi="Times New Roman" w:cs="Times New Roman"/>
            <w:color w:val="1155CC"/>
            <w:sz w:val="24"/>
            <w:szCs w:val="24"/>
            <w:highlight w:val="white"/>
            <w:u w:val="single"/>
          </w:rPr>
          <w:t>https://www.iii.org/article/background-on-insurance-fraud</w:t>
        </w:r>
      </w:hyperlink>
    </w:p>
    <w:p w14:paraId="59039B9E"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By the numbers: fraud statistics. (2018). Retrieved from </w:t>
      </w:r>
      <w:hyperlink r:id="rId26" w:anchor="10">
        <w:r>
          <w:rPr>
            <w:rFonts w:ascii="Times New Roman" w:eastAsia="Times New Roman" w:hAnsi="Times New Roman" w:cs="Times New Roman"/>
            <w:color w:val="1155CC"/>
            <w:sz w:val="24"/>
            <w:szCs w:val="24"/>
            <w:highlight w:val="white"/>
            <w:u w:val="single"/>
          </w:rPr>
          <w:t>https://www.insurancefraud.org</w:t>
        </w:r>
        <w:r>
          <w:rPr>
            <w:rFonts w:ascii="Times New Roman" w:eastAsia="Times New Roman" w:hAnsi="Times New Roman" w:cs="Times New Roman"/>
            <w:color w:val="1155CC"/>
            <w:sz w:val="24"/>
            <w:szCs w:val="24"/>
            <w:highlight w:val="white"/>
            <w:u w:val="single"/>
          </w:rPr>
          <w:t>/statistics.htm#10</w:t>
        </w:r>
      </w:hyperlink>
    </w:p>
    <w:p w14:paraId="7A75E3F2"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Combating Health Care Fraud in a Post-Reform World. (2010). Retrieved from </w:t>
      </w:r>
      <w:hyperlink r:id="rId27">
        <w:r>
          <w:rPr>
            <w:rFonts w:ascii="Times New Roman" w:eastAsia="Times New Roman" w:hAnsi="Times New Roman" w:cs="Times New Roman"/>
            <w:color w:val="1155CC"/>
            <w:sz w:val="24"/>
            <w:szCs w:val="24"/>
            <w:highlight w:val="white"/>
            <w:u w:val="single"/>
          </w:rPr>
          <w:t>https://www.nhcaa.org/docs/nhcaa/PDFs/Member%20Services/WhitePaper</w:t>
        </w:r>
        <w:r>
          <w:rPr>
            <w:rFonts w:ascii="Times New Roman" w:eastAsia="Times New Roman" w:hAnsi="Times New Roman" w:cs="Times New Roman"/>
            <w:color w:val="1155CC"/>
            <w:sz w:val="24"/>
            <w:szCs w:val="24"/>
            <w:highlight w:val="white"/>
            <w:u w:val="single"/>
          </w:rPr>
          <w:t>_Oct10.pdf</w:t>
        </w:r>
      </w:hyperlink>
    </w:p>
    <w:p w14:paraId="17B6BC2B"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Corbin, K. (2014). How CIOs Can Prepare for Healthcare ‘Data Tsunami’. Retrieved from </w:t>
      </w:r>
      <w:hyperlink r:id="rId28">
        <w:r>
          <w:rPr>
            <w:rFonts w:ascii="Times New Roman" w:eastAsia="Times New Roman" w:hAnsi="Times New Roman" w:cs="Times New Roman"/>
            <w:color w:val="1155CC"/>
            <w:sz w:val="24"/>
            <w:szCs w:val="24"/>
            <w:highlight w:val="white"/>
            <w:u w:val="single"/>
          </w:rPr>
          <w:t>https://www.cio.com/article/2860072/hea</w:t>
        </w:r>
        <w:r>
          <w:rPr>
            <w:rFonts w:ascii="Times New Roman" w:eastAsia="Times New Roman" w:hAnsi="Times New Roman" w:cs="Times New Roman"/>
            <w:color w:val="1155CC"/>
            <w:sz w:val="24"/>
            <w:szCs w:val="24"/>
            <w:highlight w:val="white"/>
            <w:u w:val="single"/>
          </w:rPr>
          <w:t>lthcare/how-cios-can-prepare-for-healthcare-data-tsunami.html</w:t>
        </w:r>
      </w:hyperlink>
    </w:p>
    <w:p w14:paraId="585D7DD5" w14:textId="77777777" w:rsidR="00716A55" w:rsidRDefault="004822DB">
      <w:pPr>
        <w:numPr>
          <w:ilvl w:val="0"/>
          <w:numId w:val="3"/>
        </w:numPr>
        <w:shd w:val="clear" w:color="auto" w:fill="FFFFFF"/>
        <w:spacing w:line="480" w:lineRule="auto"/>
        <w:rPr>
          <w:rFonts w:ascii="Arial" w:eastAsia="Arial" w:hAnsi="Arial" w:cs="Arial"/>
          <w:sz w:val="24"/>
          <w:szCs w:val="24"/>
        </w:rPr>
      </w:pPr>
      <w:r>
        <w:rPr>
          <w:rFonts w:ascii="Times New Roman" w:eastAsia="Times New Roman" w:hAnsi="Times New Roman" w:cs="Times New Roman"/>
          <w:sz w:val="24"/>
          <w:szCs w:val="24"/>
          <w:highlight w:val="white"/>
        </w:rPr>
        <w:t>Course 5: Medical Billing Insurance Claims Process. Retrieved from</w:t>
      </w:r>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color w:val="1155CC"/>
            <w:sz w:val="24"/>
            <w:szCs w:val="24"/>
            <w:highlight w:val="white"/>
            <w:u w:val="single"/>
          </w:rPr>
          <w:t>https://www.medicalbillingandc</w:t>
        </w:r>
        <w:r>
          <w:rPr>
            <w:rFonts w:ascii="Times New Roman" w:eastAsia="Times New Roman" w:hAnsi="Times New Roman" w:cs="Times New Roman"/>
            <w:color w:val="1155CC"/>
            <w:sz w:val="24"/>
            <w:szCs w:val="24"/>
            <w:highlight w:val="white"/>
            <w:u w:val="single"/>
          </w:rPr>
          <w:t>odingonline.com/medical-billing-claims-process/</w:t>
        </w:r>
      </w:hyperlink>
    </w:p>
    <w:p w14:paraId="15B147C5"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Fighting Health Care Fraud: An Integral Part of Health Care Reform. (2009). Retrieved from </w:t>
      </w:r>
      <w:hyperlink r:id="rId30">
        <w:r>
          <w:rPr>
            <w:rFonts w:ascii="Times New Roman" w:eastAsia="Times New Roman" w:hAnsi="Times New Roman" w:cs="Times New Roman"/>
            <w:color w:val="1155CC"/>
            <w:sz w:val="24"/>
            <w:szCs w:val="24"/>
            <w:highlight w:val="white"/>
            <w:u w:val="single"/>
          </w:rPr>
          <w:t>https://www.nhcaa.org/docs/nhcaa/PDFs/Member%20Services/Fighting%20Health%20Care%20Fraud_NHCAAJune2009.pdf</w:t>
        </w:r>
      </w:hyperlink>
    </w:p>
    <w:p w14:paraId="4D1B1FEA"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Fraud Detection Using Data Analytics in the Healthcare Industry. (2018). Retrieved from </w:t>
      </w:r>
      <w:hyperlink r:id="rId31">
        <w:r>
          <w:rPr>
            <w:rFonts w:ascii="Times New Roman" w:eastAsia="Times New Roman" w:hAnsi="Times New Roman" w:cs="Times New Roman"/>
            <w:color w:val="1155CC"/>
            <w:sz w:val="24"/>
            <w:szCs w:val="24"/>
            <w:highlight w:val="white"/>
            <w:u w:val="single"/>
          </w:rPr>
          <w:t>https://www.acl.com/pdfs/DP_Fraud_detection_HEALTHCARE.pdf</w:t>
        </w:r>
      </w:hyperlink>
    </w:p>
    <w:p w14:paraId="24A43B90" w14:textId="77777777" w:rsidR="00716A55" w:rsidRDefault="004822DB">
      <w:pPr>
        <w:numPr>
          <w:ilvl w:val="0"/>
          <w:numId w:val="3"/>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Insurance Fraud. (2018). Retrieved from </w:t>
      </w:r>
      <w:hyperlink r:id="rId32">
        <w:r>
          <w:rPr>
            <w:rFonts w:ascii="Times New Roman" w:eastAsia="Times New Roman" w:hAnsi="Times New Roman" w:cs="Times New Roman"/>
            <w:color w:val="1155CC"/>
            <w:sz w:val="24"/>
            <w:szCs w:val="24"/>
            <w:highlight w:val="white"/>
            <w:u w:val="single"/>
          </w:rPr>
          <w:t>https://www.naic.org/cipr_topics/topic_insurance_fraud.htm</w:t>
        </w:r>
      </w:hyperlink>
    </w:p>
    <w:p w14:paraId="4B8DB7D6" w14:textId="77777777" w:rsidR="00716A55" w:rsidRDefault="004822DB">
      <w:pPr>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Medical Identity Theft. (2018). Retrieved from </w:t>
      </w:r>
      <w:hyperlink r:id="rId33">
        <w:r>
          <w:rPr>
            <w:rFonts w:ascii="Times New Roman" w:eastAsia="Times New Roman" w:hAnsi="Times New Roman" w:cs="Times New Roman"/>
            <w:color w:val="1155CC"/>
            <w:sz w:val="24"/>
            <w:szCs w:val="24"/>
            <w:highlight w:val="white"/>
            <w:u w:val="single"/>
          </w:rPr>
          <w:t>https://www.consumer.ftc.gov/articles/0171-medical-identity-theft</w:t>
        </w:r>
      </w:hyperlink>
    </w:p>
    <w:sectPr w:rsidR="00716A55">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6C1"/>
    <w:multiLevelType w:val="multilevel"/>
    <w:tmpl w:val="246CB1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3D75C8"/>
    <w:multiLevelType w:val="multilevel"/>
    <w:tmpl w:val="867E1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F36834"/>
    <w:multiLevelType w:val="multilevel"/>
    <w:tmpl w:val="E6B08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5C4C4F"/>
    <w:multiLevelType w:val="multilevel"/>
    <w:tmpl w:val="80687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4E143F"/>
    <w:multiLevelType w:val="multilevel"/>
    <w:tmpl w:val="D83065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2D97BF4"/>
    <w:multiLevelType w:val="multilevel"/>
    <w:tmpl w:val="29D40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1A17769"/>
    <w:multiLevelType w:val="multilevel"/>
    <w:tmpl w:val="8458A9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B4E230E"/>
    <w:multiLevelType w:val="multilevel"/>
    <w:tmpl w:val="18B061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C8D0F20"/>
    <w:multiLevelType w:val="multilevel"/>
    <w:tmpl w:val="EE48DE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40D08E1"/>
    <w:multiLevelType w:val="multilevel"/>
    <w:tmpl w:val="A1DE52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F63DA4"/>
    <w:multiLevelType w:val="multilevel"/>
    <w:tmpl w:val="FB0CA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10"/>
  </w:num>
  <w:num w:numId="3">
    <w:abstractNumId w:val="2"/>
  </w:num>
  <w:num w:numId="4">
    <w:abstractNumId w:val="6"/>
  </w:num>
  <w:num w:numId="5">
    <w:abstractNumId w:val="8"/>
  </w:num>
  <w:num w:numId="6">
    <w:abstractNumId w:val="5"/>
  </w:num>
  <w:num w:numId="7">
    <w:abstractNumId w:val="7"/>
  </w:num>
  <w:num w:numId="8">
    <w:abstractNumId w:val="3"/>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6A55"/>
    <w:rsid w:val="004822DB"/>
    <w:rsid w:val="0071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6ED4"/>
  <w15:docId w15:val="{591435A0-5E06-4BE3-B575-B9F29380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jc w:val="both"/>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hGdKmZkv2pGczDcX0Jy8q7uoCkYwNPHi" TargetMode="External"/><Relationship Id="rId18" Type="http://schemas.openxmlformats.org/officeDocument/2006/relationships/image" Target="media/image4.png"/><Relationship Id="rId26" Type="http://schemas.openxmlformats.org/officeDocument/2006/relationships/hyperlink" Target="https://www.insurancefraud.org/statistics.htm"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docs.google.com/document/d/1liq6kJGcOXKNokS6HUhwbGrUpPXvSMDeBBXWFeGEKKo/edit" TargetMode="External"/><Relationship Id="rId12" Type="http://schemas.openxmlformats.org/officeDocument/2006/relationships/hyperlink" Target="https://docs.google.com/document/d/1liq6kJGcOXKNokS6HUhwbGrUpPXvSMDeBBXWFeGEKKo/edit" TargetMode="External"/><Relationship Id="rId17" Type="http://schemas.openxmlformats.org/officeDocument/2006/relationships/image" Target="media/image3.png"/><Relationship Id="rId25" Type="http://schemas.openxmlformats.org/officeDocument/2006/relationships/hyperlink" Target="https://www.iii.org/article/background-on-insurance-fraud" TargetMode="External"/><Relationship Id="rId33" Type="http://schemas.openxmlformats.org/officeDocument/2006/relationships/hyperlink" Target="https://www.consumer.ftc.gov/articles/0171-medical-identity-thef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medicalbillingandcodingonline.com/medical-billing-claims-process/" TargetMode="External"/><Relationship Id="rId1" Type="http://schemas.openxmlformats.org/officeDocument/2006/relationships/numbering" Target="numbering.xml"/><Relationship Id="rId6" Type="http://schemas.openxmlformats.org/officeDocument/2006/relationships/hyperlink" Target="https://docs.google.com/document/d/1liq6kJGcOXKNokS6HUhwbGrUpPXvSMDeBBXWFeGEKKo/edit" TargetMode="External"/><Relationship Id="rId11" Type="http://schemas.openxmlformats.org/officeDocument/2006/relationships/hyperlink" Target="https://docs.google.com/document/d/1liq6kJGcOXKNokS6HUhwbGrUpPXvSMDeBBXWFeGEKKo/edit" TargetMode="External"/><Relationship Id="rId24" Type="http://schemas.openxmlformats.org/officeDocument/2006/relationships/hyperlink" Target="https://s3.amazonaws.com/cdn.ayasdi.com/wp-content/uploads/2015/06/02151543/AYASDI-Advanced-Anaylytics-for-Fraud-Waste-and-Abuse-Detection-WP-071217V01.pdf" TargetMode="External"/><Relationship Id="rId32" Type="http://schemas.openxmlformats.org/officeDocument/2006/relationships/hyperlink" Target="https://www.naic.org/cipr_topics/topic_insurance_fraud.htm" TargetMode="External"/><Relationship Id="rId5" Type="http://schemas.openxmlformats.org/officeDocument/2006/relationships/image" Target="media/image1.png"/><Relationship Id="rId15" Type="http://schemas.openxmlformats.org/officeDocument/2006/relationships/hyperlink" Target="https://drive.google.com/open?id=1MU15SySI8dBUTJ-NgOK_k8voYxhrRgok" TargetMode="External"/><Relationship Id="rId23" Type="http://schemas.openxmlformats.org/officeDocument/2006/relationships/image" Target="media/image9.png"/><Relationship Id="rId28" Type="http://schemas.openxmlformats.org/officeDocument/2006/relationships/hyperlink" Target="https://www.cio.com/article/2860072/healthcare/how-cios-can-prepare-for-healthcare-data-tsunami.html" TargetMode="External"/><Relationship Id="rId10" Type="http://schemas.openxmlformats.org/officeDocument/2006/relationships/hyperlink" Target="https://docs.google.com/document/d/1liq6kJGcOXKNokS6HUhwbGrUpPXvSMDeBBXWFeGEKKo/edit" TargetMode="External"/><Relationship Id="rId19" Type="http://schemas.openxmlformats.org/officeDocument/2006/relationships/image" Target="media/image5.png"/><Relationship Id="rId31" Type="http://schemas.openxmlformats.org/officeDocument/2006/relationships/hyperlink" Target="https://www.acl.com/pdfs/DP_Fraud_detection_HEALTHCARE.pdf" TargetMode="External"/><Relationship Id="rId4" Type="http://schemas.openxmlformats.org/officeDocument/2006/relationships/webSettings" Target="webSettings.xml"/><Relationship Id="rId9" Type="http://schemas.openxmlformats.org/officeDocument/2006/relationships/hyperlink" Target="https://catalog.data.gov/dataset" TargetMode="External"/><Relationship Id="rId14" Type="http://schemas.openxmlformats.org/officeDocument/2006/relationships/hyperlink" Target="https://drive.google.com/open?id=1ECn1QB9pKHV1COtEEHhwba_rNPrgZsOP" TargetMode="External"/><Relationship Id="rId22" Type="http://schemas.openxmlformats.org/officeDocument/2006/relationships/image" Target="media/image8.png"/><Relationship Id="rId27" Type="http://schemas.openxmlformats.org/officeDocument/2006/relationships/hyperlink" Target="https://www.nhcaa.org/docs/nhcaa/PDFs/Member%20Services/WhitePaper_Oct10.pdf" TargetMode="External"/><Relationship Id="rId30" Type="http://schemas.openxmlformats.org/officeDocument/2006/relationships/hyperlink" Target="https://www.nhcaa.org/docs/nhcaa/PDFs/Member%20Services/Fighting%20Health%20Care%20Fraud_NHCAAJune2009.pdf" TargetMode="External"/><Relationship Id="rId35" Type="http://schemas.openxmlformats.org/officeDocument/2006/relationships/theme" Target="theme/theme1.xml"/><Relationship Id="rId8" Type="http://schemas.openxmlformats.org/officeDocument/2006/relationships/hyperlink" Target="https://data.cm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3778</Words>
  <Characters>21536</Characters>
  <Application>Microsoft Office Word</Application>
  <DocSecurity>0</DocSecurity>
  <Lines>179</Lines>
  <Paragraphs>50</Paragraphs>
  <ScaleCrop>false</ScaleCrop>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sridevi kesavarapu</cp:lastModifiedBy>
  <cp:revision>3</cp:revision>
  <dcterms:created xsi:type="dcterms:W3CDTF">2019-08-24T15:56:00Z</dcterms:created>
  <dcterms:modified xsi:type="dcterms:W3CDTF">2019-08-24T15:58:00Z</dcterms:modified>
</cp:coreProperties>
</file>