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 Document</w:t>
      </w:r>
    </w:p>
    <w:p>
      <w:pPr>
        <w:pStyle w:val="Heading2"/>
      </w:pPr>
      <w:r>
        <w:t>Title</w:t>
      </w:r>
    </w:p>
    <w:p>
      <w:r>
        <w:t>Add functionality to scan a new container ID number while picking stock using the HHT.</w:t>
      </w:r>
    </w:p>
    <w:p>
      <w:pPr>
        <w:pStyle w:val="Heading2"/>
      </w:pPr>
      <w:r>
        <w:t>Background</w:t>
      </w:r>
    </w:p>
    <w:p>
      <w:r>
        <w:t>Currently, the system allows scanning of item barcodes and location IDs during the picking process. However, there is no provision to scan a container ID number. This enhancement is required to improve tracking and accuracy during the picking process.</w:t>
      </w:r>
    </w:p>
    <w:p>
      <w:pPr>
        <w:pStyle w:val="Heading2"/>
      </w:pPr>
      <w:r>
        <w:t>Requirement Details</w:t>
      </w:r>
    </w:p>
    <w:p>
      <w:r>
        <w:t>1. Modify the HHT picking workflow to include a step for scanning the container ID number.</w:t>
        <w:br/>
        <w:t>2. Validate the scanned container ID against the database to ensure it is valid and active.</w:t>
        <w:br/>
        <w:t>3. Update the RDT rules to handle the new container ID validation logic.</w:t>
        <w:br/>
        <w:t>4. Log the scanned container ID in the picking transaction table for audit purposes.</w:t>
      </w:r>
    </w:p>
    <w:p>
      <w:pPr>
        <w:pStyle w:val="Heading2"/>
      </w:pPr>
      <w:r>
        <w:t>Acceptance Criteria</w:t>
      </w:r>
    </w:p>
    <w:p>
      <w:r>
        <w:t>1. The HHT should prompt the user to scan a container ID after scanning the item barcode.</w:t>
        <w:br/>
        <w:t>2. The system should validate the container ID and display an error message if it is invalid.</w:t>
        <w:br/>
        <w:t>3. The container ID should be logged in the database along with the picking transaction.</w:t>
      </w:r>
    </w:p>
    <w:p>
      <w:pPr>
        <w:pStyle w:val="Heading2"/>
      </w:pPr>
      <w:r>
        <w:t>References</w:t>
      </w:r>
    </w:p>
    <w:p>
      <w:r>
        <w:t>Refer to the WMS Dispatcher 2019 User Guide for existing picking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