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79"/>
          <w:sz w:val="52"/>
          <w:szCs w:val="52"/>
        </w:rPr>
        <w:t xml:space="preserve">Tableau – Appspace</w:t>
      </w:r>
    </w:p>
    <w:p>
      <w:pPr>
        <w:spacing w:after="300"/>
        <w:jc w:val="center"/>
      </w:pPr>
      <w:r>
        <w:rPr>
          <w:b/>
          <w:bCs/>
          <w:color w:val="C55A11"/>
          <w:sz w:val="36"/>
          <w:szCs w:val="36"/>
        </w:rPr>
        <w:t xml:space="preserve">Digital Signage Integration</w:t>
      </w:r>
    </w:p>
    <w:p>
      <w:pPr>
        <w:spacing w:after="900"/>
        <w:jc w:val="center"/>
      </w:pPr>
      <w:r>
        <w:rPr>
          <w:i/>
          <w:iCs/>
          <w:color w:val="595959"/>
          <w:sz w:val="26"/>
          <w:szCs w:val="26"/>
        </w:rPr>
        <w:t xml:space="preserve">Solution Architecture Document (SAD)</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2F2F2" w:val="clear"/>
            <w:tcMar>
              <w:top w:type="dxa" w:w="100"/>
              <w:left w:type="dxa" w:w="120"/>
              <w:bottom w:type="dxa" w:w="100"/>
              <w:right w:type="dxa" w:w="120"/>
            </w:tcMar>
          </w:tcPr>
          <w:p>
            <w:r>
              <w:rPr>
                <w:b/>
                <w:bCs/>
                <w:sz w:val="20"/>
                <w:szCs w:val="20"/>
              </w:rPr>
              <w:t xml:space="preserve">Document Type</w:t>
            </w:r>
          </w:p>
        </w:tc>
        <w:tc>
          <w:tcPr>
            <w:tcW w:type="dxa" w:w="4300"/>
            <w:tcMar>
              <w:top w:type="dxa" w:w="100"/>
              <w:left w:type="dxa" w:w="120"/>
              <w:bottom w:type="dxa" w:w="100"/>
              <w:right w:type="dxa" w:w="120"/>
            </w:tcMar>
          </w:tcPr>
          <w:p>
            <w:r>
              <w:rPr>
                <w:b w:val="false"/>
                <w:bCs w:val="false"/>
                <w:sz w:val="20"/>
                <w:szCs w:val="20"/>
              </w:rPr>
              <w:t xml:space="preserve">Solution Architecture Document</w:t>
            </w:r>
          </w:p>
        </w:tc>
      </w:tr>
      <w:tr>
        <w:tc>
          <w:tcPr>
            <w:tcW w:type="dxa" w:w="2200"/>
            <w:shd w:fill="F2F2F2" w:val="clear"/>
            <w:tcMar>
              <w:top w:type="dxa" w:w="100"/>
              <w:left w:type="dxa" w:w="120"/>
              <w:bottom w:type="dxa" w:w="100"/>
              <w:right w:type="dxa" w:w="120"/>
            </w:tcMar>
          </w:tcPr>
          <w:p>
            <w:r>
              <w:rPr>
                <w:b/>
                <w:bCs/>
                <w:sz w:val="20"/>
                <w:szCs w:val="20"/>
              </w:rPr>
              <w:t xml:space="preserve">Architecture Domain</w:t>
            </w:r>
          </w:p>
        </w:tc>
        <w:tc>
          <w:tcPr>
            <w:tcW w:type="dxa" w:w="4300"/>
            <w:tcMar>
              <w:top w:type="dxa" w:w="100"/>
              <w:left w:type="dxa" w:w="120"/>
              <w:bottom w:type="dxa" w:w="100"/>
              <w:right w:type="dxa" w:w="120"/>
            </w:tcMar>
          </w:tcPr>
          <w:p>
            <w:r>
              <w:rPr>
                <w:b w:val="false"/>
                <w:bCs w:val="false"/>
                <w:sz w:val="20"/>
                <w:szCs w:val="20"/>
              </w:rPr>
              <w:t xml:space="preserve">Integration / BI &amp; Digital Signage</w:t>
            </w:r>
          </w:p>
        </w:tc>
      </w:tr>
      <w:tr>
        <w:tc>
          <w:tcPr>
            <w:tcW w:type="dxa" w:w="2200"/>
            <w:shd w:fill="F2F2F2" w:val="clear"/>
            <w:tcMar>
              <w:top w:type="dxa" w:w="100"/>
              <w:left w:type="dxa" w:w="120"/>
              <w:bottom w:type="dxa" w:w="100"/>
              <w:right w:type="dxa" w:w="120"/>
            </w:tcMar>
          </w:tcPr>
          <w:p>
            <w:r>
              <w:rPr>
                <w:b/>
                <w:bCs/>
                <w:sz w:val="20"/>
                <w:szCs w:val="20"/>
              </w:rPr>
              <w:t xml:space="preserve">Audience</w:t>
            </w:r>
          </w:p>
        </w:tc>
        <w:tc>
          <w:tcPr>
            <w:tcW w:type="dxa" w:w="4300"/>
            <w:tcMar>
              <w:top w:type="dxa" w:w="100"/>
              <w:left w:type="dxa" w:w="120"/>
              <w:bottom w:type="dxa" w:w="100"/>
              <w:right w:type="dxa" w:w="120"/>
            </w:tcMar>
          </w:tcPr>
          <w:p>
            <w:r>
              <w:rPr>
                <w:b w:val="false"/>
                <w:bCs w:val="false"/>
                <w:sz w:val="20"/>
                <w:szCs w:val="20"/>
              </w:rPr>
              <w:t xml:space="preserve">Enterprise / Solution Architects, Security Review Board</w:t>
            </w:r>
          </w:p>
        </w:tc>
      </w:tr>
      <w:tr>
        <w:tc>
          <w:tcPr>
            <w:tcW w:type="dxa" w:w="2200"/>
            <w:shd w:fill="F2F2F2" w:val="clear"/>
            <w:tcMar>
              <w:top w:type="dxa" w:w="100"/>
              <w:left w:type="dxa" w:w="120"/>
              <w:bottom w:type="dxa" w:w="100"/>
              <w:right w:type="dxa" w:w="120"/>
            </w:tcMar>
          </w:tcPr>
          <w:p>
            <w:r>
              <w:rPr>
                <w:b/>
                <w:bCs/>
                <w:sz w:val="20"/>
                <w:szCs w:val="20"/>
              </w:rPr>
              <w:t xml:space="preserve">Owner</w:t>
            </w:r>
          </w:p>
        </w:tc>
        <w:tc>
          <w:tcPr>
            <w:tcW w:type="dxa" w:w="4300"/>
            <w:tcMar>
              <w:top w:type="dxa" w:w="100"/>
              <w:left w:type="dxa" w:w="120"/>
              <w:bottom w:type="dxa" w:w="100"/>
              <w:right w:type="dxa" w:w="120"/>
            </w:tcMar>
          </w:tcPr>
          <w:p>
            <w:r>
              <w:rPr>
                <w:b w:val="false"/>
                <w:bCs w:val="false"/>
                <w:sz w:val="20"/>
                <w:szCs w:val="20"/>
              </w:rPr>
              <w:t xml:space="preserve">Data &amp; BI Support Team</w:t>
            </w:r>
          </w:p>
        </w:tc>
      </w:tr>
      <w:tr>
        <w:tc>
          <w:tcPr>
            <w:tcW w:type="dxa" w:w="2200"/>
            <w:shd w:fill="F2F2F2" w:val="clear"/>
            <w:tcMar>
              <w:top w:type="dxa" w:w="100"/>
              <w:left w:type="dxa" w:w="120"/>
              <w:bottom w:type="dxa" w:w="100"/>
              <w:right w:type="dxa" w:w="120"/>
            </w:tcMar>
          </w:tcPr>
          <w:p>
            <w:r>
              <w:rPr>
                <w:b/>
                <w:bCs/>
                <w:sz w:val="20"/>
                <w:szCs w:val="20"/>
              </w:rPr>
              <w:t xml:space="preserve">Status</w:t>
            </w:r>
          </w:p>
        </w:tc>
        <w:tc>
          <w:tcPr>
            <w:tcW w:type="dxa" w:w="4300"/>
            <w:tcMar>
              <w:top w:type="dxa" w:w="100"/>
              <w:left w:type="dxa" w:w="120"/>
              <w:bottom w:type="dxa" w:w="100"/>
              <w:right w:type="dxa" w:w="120"/>
            </w:tcMar>
          </w:tcPr>
          <w:p>
            <w:r>
              <w:rPr>
                <w:b w:val="false"/>
                <w:bCs w:val="false"/>
                <w:sz w:val="20"/>
                <w:szCs w:val="20"/>
              </w:rPr>
              <w:t xml:space="preserve">Draft – For Architecture Review</w:t>
            </w:r>
          </w:p>
        </w:tc>
      </w:tr>
      <w:tr>
        <w:tc>
          <w:tcPr>
            <w:tcW w:type="dxa" w:w="2200"/>
            <w:shd w:fill="F2F2F2" w:val="clear"/>
            <w:tcMar>
              <w:top w:type="dxa" w:w="100"/>
              <w:left w:type="dxa" w:w="120"/>
              <w:bottom w:type="dxa" w:w="100"/>
              <w:right w:type="dxa" w:w="120"/>
            </w:tcMar>
          </w:tcPr>
          <w:p>
            <w:r>
              <w:rPr>
                <w:b/>
                <w:bCs/>
                <w:sz w:val="20"/>
                <w:szCs w:val="20"/>
              </w:rPr>
              <w:t xml:space="preserve">Version</w:t>
            </w:r>
          </w:p>
        </w:tc>
        <w:tc>
          <w:tcPr>
            <w:tcW w:type="dxa" w:w="4300"/>
            <w:tcMar>
              <w:top w:type="dxa" w:w="100"/>
              <w:left w:type="dxa" w:w="120"/>
              <w:bottom w:type="dxa" w:w="100"/>
              <w:right w:type="dxa" w:w="120"/>
            </w:tcMar>
          </w:tcPr>
          <w:p>
            <w:r>
              <w:rPr>
                <w:b w:val="false"/>
                <w:bCs w:val="false"/>
                <w:sz w:val="20"/>
                <w:szCs w:val="20"/>
              </w:rPr>
              <w:t xml:space="preserve">1.0</w:t>
            </w:r>
          </w:p>
        </w:tc>
      </w:tr>
      <w:tr>
        <w:tc>
          <w:tcPr>
            <w:tcW w:type="dxa" w:w="2200"/>
            <w:shd w:fill="F2F2F2" w:val="clear"/>
            <w:tcMar>
              <w:top w:type="dxa" w:w="100"/>
              <w:left w:type="dxa" w:w="120"/>
              <w:bottom w:type="dxa" w:w="100"/>
              <w:right w:type="dxa" w:w="120"/>
            </w:tcMar>
          </w:tcPr>
          <w:p>
            <w:r>
              <w:rPr>
                <w:b/>
                <w:bCs/>
                <w:sz w:val="20"/>
                <w:szCs w:val="20"/>
              </w:rPr>
              <w:t xml:space="preserve">Last Updated</w:t>
            </w:r>
          </w:p>
        </w:tc>
        <w:tc>
          <w:tcPr>
            <w:tcW w:type="dxa" w:w="4300"/>
            <w:tcMar>
              <w:top w:type="dxa" w:w="100"/>
              <w:left w:type="dxa" w:w="120"/>
              <w:bottom w:type="dxa" w:w="100"/>
              <w:right w:type="dxa" w:w="120"/>
            </w:tcMar>
          </w:tcPr>
          <w:p>
            <w:r>
              <w:rPr>
                <w:b w:val="false"/>
                <w:bCs w:val="false"/>
                <w:sz w:val="20"/>
                <w:szCs w:val="20"/>
              </w:rPr>
              <w:t xml:space="preserve">21 July 2026</w:t>
            </w:r>
          </w:p>
        </w:tc>
      </w:tr>
    </w:tbl>
    <w:p>
      <w:r>
        <w:br w:type="page"/>
      </w:r>
    </w:p>
    <w:p>
      <w:pPr>
        <w:pStyle w:val="Heading1"/>
        <w:spacing w:after="160" w:before="360"/>
      </w:pPr>
      <w:r>
        <w:t xml:space="preserve">Table of Contents</w:t>
      </w:r>
    </w:p>
    <w:p>
      <w:pPr>
        <w:spacing w:after="120"/>
      </w:pPr>
      <w:r>
        <w:rPr>
          <w:sz w:val="22"/>
          <w:szCs w:val="22"/>
        </w:rPr>
        <w:t xml:space="preserve">1. Document Purpose &amp; Audience</w:t>
      </w:r>
      <w:r>
        <w:ptab w:alignment="right" w:relativeTo="margin" w:leader="dot"/>
      </w:r>
    </w:p>
    <w:p>
      <w:pPr>
        <w:spacing w:after="120"/>
      </w:pPr>
      <w:r>
        <w:rPr>
          <w:sz w:val="22"/>
          <w:szCs w:val="22"/>
        </w:rPr>
        <w:t xml:space="preserve">2. Architecture Overview</w:t>
      </w:r>
      <w:r>
        <w:ptab w:alignment="right" w:relativeTo="margin" w:leader="dot"/>
      </w:r>
    </w:p>
    <w:p>
      <w:pPr>
        <w:spacing w:after="120"/>
      </w:pPr>
      <w:r>
        <w:rPr>
          <w:sz w:val="22"/>
          <w:szCs w:val="22"/>
        </w:rPr>
        <w:t xml:space="preserve">3. Logical Architecture</w:t>
      </w:r>
      <w:r>
        <w:ptab w:alignment="right" w:relativeTo="margin" w:leader="dot"/>
      </w:r>
    </w:p>
    <w:p>
      <w:pPr>
        <w:spacing w:after="120"/>
      </w:pPr>
      <w:r>
        <w:rPr>
          <w:sz w:val="22"/>
          <w:szCs w:val="22"/>
        </w:rPr>
        <w:t xml:space="preserve">4. Component Description</w:t>
      </w:r>
      <w:r>
        <w:ptab w:alignment="right" w:relativeTo="margin" w:leader="dot"/>
      </w:r>
    </w:p>
    <w:p>
      <w:pPr>
        <w:spacing w:after="120"/>
      </w:pPr>
      <w:r>
        <w:rPr>
          <w:sz w:val="22"/>
          <w:szCs w:val="22"/>
        </w:rPr>
        <w:t xml:space="preserve">5. Integration &amp; Authentication Architecture</w:t>
      </w:r>
      <w:r>
        <w:ptab w:alignment="right" w:relativeTo="margin" w:leader="dot"/>
      </w:r>
    </w:p>
    <w:p>
      <w:pPr>
        <w:spacing w:after="120"/>
      </w:pPr>
      <w:r>
        <w:rPr>
          <w:sz w:val="22"/>
          <w:szCs w:val="22"/>
        </w:rPr>
        <w:t xml:space="preserve">6. Data Flow Architecture</w:t>
      </w:r>
      <w:r>
        <w:ptab w:alignment="right" w:relativeTo="margin" w:leader="dot"/>
      </w:r>
    </w:p>
    <w:p>
      <w:pPr>
        <w:spacing w:after="120"/>
      </w:pPr>
      <w:r>
        <w:rPr>
          <w:sz w:val="22"/>
          <w:szCs w:val="22"/>
        </w:rPr>
        <w:t xml:space="preserve">7. Deployment &amp; Network Topology</w:t>
      </w:r>
      <w:r>
        <w:ptab w:alignment="right" w:relativeTo="margin" w:leader="dot"/>
      </w:r>
    </w:p>
    <w:p>
      <w:pPr>
        <w:spacing w:after="120"/>
      </w:pPr>
      <w:r>
        <w:rPr>
          <w:sz w:val="22"/>
          <w:szCs w:val="22"/>
        </w:rPr>
        <w:t xml:space="preserve">8. Security Architecture</w:t>
      </w:r>
      <w:r>
        <w:ptab w:alignment="right" w:relativeTo="margin" w:leader="dot"/>
      </w:r>
    </w:p>
    <w:p>
      <w:pPr>
        <w:spacing w:after="120"/>
      </w:pPr>
      <w:r>
        <w:rPr>
          <w:sz w:val="22"/>
          <w:szCs w:val="22"/>
        </w:rPr>
        <w:t xml:space="preserve">9. Non-Functional Requirements</w:t>
      </w:r>
      <w:r>
        <w:ptab w:alignment="right" w:relativeTo="margin" w:leader="dot"/>
      </w:r>
    </w:p>
    <w:p>
      <w:pPr>
        <w:spacing w:after="120"/>
      </w:pPr>
      <w:r>
        <w:rPr>
          <w:sz w:val="22"/>
          <w:szCs w:val="22"/>
        </w:rPr>
        <w:t xml:space="preserve">10. Technology Stack Summary</w:t>
      </w:r>
      <w:r>
        <w:ptab w:alignment="right" w:relativeTo="margin" w:leader="dot"/>
      </w:r>
    </w:p>
    <w:p>
      <w:pPr>
        <w:spacing w:after="120"/>
      </w:pPr>
      <w:r>
        <w:rPr>
          <w:sz w:val="22"/>
          <w:szCs w:val="22"/>
        </w:rPr>
        <w:t xml:space="preserve">11. Assumptions, Constraints &amp; Dependencies</w:t>
      </w:r>
      <w:r>
        <w:ptab w:alignment="right" w:relativeTo="margin" w:leader="dot"/>
      </w:r>
    </w:p>
    <w:p>
      <w:pPr>
        <w:spacing w:after="120"/>
      </w:pPr>
      <w:r>
        <w:rPr>
          <w:sz w:val="22"/>
          <w:szCs w:val="22"/>
        </w:rPr>
        <w:t xml:space="preserve">12. Risks &amp; Mitigations</w:t>
      </w:r>
      <w:r>
        <w:ptab w:alignment="right" w:relativeTo="margin" w:leader="dot"/>
      </w:r>
    </w:p>
    <w:p>
      <w:pPr>
        <w:spacing w:after="120"/>
      </w:pPr>
      <w:r>
        <w:rPr>
          <w:sz w:val="22"/>
          <w:szCs w:val="22"/>
        </w:rPr>
        <w:t xml:space="preserve">13. Architecture Decision Log</w:t>
      </w:r>
      <w:r>
        <w:ptab w:alignment="right" w:relativeTo="margin" w:leader="dot"/>
      </w:r>
    </w:p>
    <w:p>
      <w:pPr>
        <w:spacing w:after="120"/>
      </w:pPr>
      <w:r>
        <w:rPr>
          <w:sz w:val="22"/>
          <w:szCs w:val="22"/>
        </w:rPr>
        <w:t xml:space="preserve">14. References</w:t>
      </w:r>
      <w:r>
        <w:ptab w:alignment="right" w:relativeTo="margin" w:leader="dot"/>
      </w:r>
    </w:p>
    <w:p>
      <w:r>
        <w:br w:type="page"/>
      </w:r>
    </w:p>
    <w:p>
      <w:pPr>
        <w:pStyle w:val="Heading1"/>
        <w:spacing w:after="160" w:before="360"/>
      </w:pPr>
      <w:r>
        <w:t xml:space="preserve">1. Document Purpose &amp; Audience</w:t>
      </w:r>
    </w:p>
    <w:p>
      <w:pPr>
        <w:spacing w:after="160" w:line="276"/>
      </w:pPr>
      <w:r>
        <w:rPr>
          <w:sz w:val="22"/>
          <w:szCs w:val="22"/>
        </w:rPr>
        <w:t xml:space="preserve">This Solution Architecture Document (SAD) defines the technical architecture for integrating Tableau Cloud dashboards with the Appspace digital signage platform. It is intended for solution architects, security reviewers, and infrastructure teams who need to assess, approve, or extend the integration.</w:t>
      </w:r>
    </w:p>
    <w:p>
      <w:pPr>
        <w:spacing w:after="160" w:line="276"/>
      </w:pPr>
      <w:r>
        <w:rPr>
          <w:sz w:val="22"/>
          <w:szCs w:val="22"/>
        </w:rPr>
        <w:t xml:space="preserve">This document focuses on architectural structure, integration patterns, security posture, and non-functional characteristics. Step-by-step configuration instructions are maintained separately in the companion Enterprise Solution / Operational Reference Document.</w:t>
      </w:r>
    </w:p>
    <w:p>
      <w:pPr>
        <w:pStyle w:val="Heading1"/>
        <w:spacing w:after="160" w:before="360"/>
      </w:pPr>
      <w:r>
        <w:t xml:space="preserve">2. Architecture Overview</w:t>
      </w:r>
    </w:p>
    <w:p>
      <w:pPr>
        <w:spacing w:after="160" w:line="276"/>
      </w:pPr>
      <w:r>
        <w:rPr>
          <w:sz w:val="22"/>
          <w:szCs w:val="22"/>
        </w:rPr>
        <w:t xml:space="preserve">The solution connects two independent SaaS platforms — Tableau Cloud (analytics/BI) and Appspace (digital signage CMS) — via a trust-based authentication mechanism (Direct Trust / Connected App), without any customer-hosted middleware. Dashboards remain governed and rendered by Tableau; Appspace is responsible only for scheduling, embedding, and distributing the dashboard view to physical display endpoints.</w:t>
      </w:r>
    </w:p>
    <w:p>
      <w:pPr>
        <w:pStyle w:val="Heading2"/>
        <w:spacing w:after="120" w:before="280"/>
      </w:pPr>
      <w:r>
        <w:t xml:space="preserve">2.1 Architecture Style</w:t>
      </w:r>
    </w:p>
    <w:p>
      <w:pPr>
        <w:pStyle w:val="ListParagraph"/>
        <w:numPr>
          <w:ilvl w:val="0"/>
          <w:numId w:val="2"/>
        </w:numPr>
        <w:spacing w:after="80"/>
      </w:pPr>
      <w:r>
        <w:rPr>
          <w:sz w:val="22"/>
          <w:szCs w:val="22"/>
        </w:rPr>
        <w:t xml:space="preserve">Pattern: SaaS-to-SaaS integration via token-based trust (no on-premises broker required).</w:t>
      </w:r>
    </w:p>
    <w:p>
      <w:pPr>
        <w:pStyle w:val="ListParagraph"/>
        <w:numPr>
          <w:ilvl w:val="0"/>
          <w:numId w:val="2"/>
        </w:numPr>
        <w:spacing w:after="80"/>
      </w:pPr>
      <w:r>
        <w:rPr>
          <w:sz w:val="22"/>
          <w:szCs w:val="22"/>
        </w:rPr>
        <w:t xml:space="preserve">Style: Embedded content delivery — Appspace acts as a display/consumption layer, not a data processing layer.</w:t>
      </w:r>
    </w:p>
    <w:p>
      <w:pPr>
        <w:pStyle w:val="ListParagraph"/>
        <w:numPr>
          <w:ilvl w:val="0"/>
          <w:numId w:val="2"/>
        </w:numPr>
        <w:spacing w:after="80"/>
      </w:pPr>
      <w:r>
        <w:rPr>
          <w:sz w:val="22"/>
          <w:szCs w:val="22"/>
        </w:rPr>
        <w:t xml:space="preserve">Coupling: Loosely coupled; Tableau and Appspace can be upgraded or reconfigured independently as long as the trust contract (Connected App) remains valid.</w:t>
      </w:r>
    </w:p>
    <w:p>
      <w:pPr>
        <w:pStyle w:val="Heading1"/>
        <w:spacing w:after="160" w:before="360"/>
      </w:pPr>
      <w:r>
        <w:t xml:space="preserve">3. Logical Architecture</w:t>
      </w:r>
    </w:p>
    <w:p>
      <w:pPr>
        <w:spacing w:after="160" w:line="276"/>
      </w:pPr>
      <w:r>
        <w:rPr>
          <w:sz w:val="22"/>
          <w:szCs w:val="22"/>
        </w:rPr>
        <w:t xml:space="preserve">The logical view below groups the solution into five layers: Data &amp; Analytics, Integration &amp; Security, Presentation/CMS, Distribution, and Consumption.</w:t>
      </w:r>
    </w:p>
    <w:p>
      <w:pPr>
        <w:spacing w:after="100" w:before="200"/>
        <w:jc w:val="center"/>
      </w:pPr>
      <w:r>
        <w:drawing>
          <wp:inline distT="0" distB="0" distL="0" distR="0">
            <wp:extent cx="45720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934075"/>
                    </a:xfrm>
                    <a:prstGeom prst="rect">
                      <a:avLst/>
                    </a:prstGeom>
                  </pic:spPr>
                </pic:pic>
              </a:graphicData>
            </a:graphic>
          </wp:inline>
        </w:drawing>
      </w:r>
    </w:p>
    <w:p>
      <w:pPr>
        <w:spacing w:after="200"/>
        <w:jc w:val="center"/>
      </w:pPr>
      <w:r>
        <w:rPr>
          <w:i/>
          <w:iCs/>
          <w:color w:val="595959"/>
          <w:sz w:val="18"/>
          <w:szCs w:val="18"/>
        </w:rPr>
        <w:t xml:space="preserve">Figure 1: Logical architecture – layered view</w:t>
      </w:r>
    </w:p>
    <w:p>
      <w:pPr>
        <w:pStyle w:val="Heading1"/>
        <w:spacing w:after="160" w:before="360"/>
      </w:pPr>
      <w:r>
        <w:t xml:space="preserve">4. Component Description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shd w:fill="DBE9F6" w:val="clear"/>
            <w:tcMar>
              <w:top w:type="dxa" w:w="100"/>
              <w:left w:type="dxa" w:w="120"/>
              <w:bottom w:type="dxa" w:w="100"/>
              <w:right w:type="dxa" w:w="120"/>
            </w:tcMar>
          </w:tcPr>
          <w:p>
            <w:r>
              <w:rPr>
                <w:b/>
                <w:bCs/>
                <w:sz w:val="20"/>
                <w:szCs w:val="20"/>
              </w:rPr>
              <w:t xml:space="preserve">Component</w:t>
            </w:r>
          </w:p>
        </w:tc>
        <w:tc>
          <w:tcPr>
            <w:tcW w:type="dxa" w:w="3450"/>
            <w:shd w:fill="DBE9F6" w:val="clear"/>
            <w:tcMar>
              <w:top w:type="dxa" w:w="100"/>
              <w:left w:type="dxa" w:w="120"/>
              <w:bottom w:type="dxa" w:w="100"/>
              <w:right w:type="dxa" w:w="120"/>
            </w:tcMar>
          </w:tcPr>
          <w:p>
            <w:r>
              <w:rPr>
                <w:b/>
                <w:bCs/>
                <w:sz w:val="20"/>
                <w:szCs w:val="20"/>
              </w:rPr>
              <w:t xml:space="preserve">Description</w:t>
            </w:r>
          </w:p>
        </w:tc>
        <w:tc>
          <w:tcPr>
            <w:tcW w:type="dxa" w:w="3500"/>
            <w:shd w:fill="DBE9F6" w:val="clear"/>
            <w:tcMar>
              <w:top w:type="dxa" w:w="100"/>
              <w:left w:type="dxa" w:w="120"/>
              <w:bottom w:type="dxa" w:w="100"/>
              <w:right w:type="dxa" w:w="120"/>
            </w:tcMar>
          </w:tcPr>
          <w:p>
            <w:r>
              <w:rPr>
                <w:b/>
                <w:bCs/>
                <w:sz w:val="20"/>
                <w:szCs w:val="20"/>
              </w:rPr>
              <w:t xml:space="preserve">Hosting</w:t>
            </w:r>
          </w:p>
        </w:tc>
      </w:tr>
      <w:tr>
        <w:tc>
          <w:tcPr>
            <w:tcW w:type="dxa" w:w="2400"/>
            <w:tcMar>
              <w:top w:type="dxa" w:w="100"/>
              <w:left w:type="dxa" w:w="120"/>
              <w:bottom w:type="dxa" w:w="100"/>
              <w:right w:type="dxa" w:w="120"/>
            </w:tcMar>
          </w:tcPr>
          <w:p>
            <w:r>
              <w:rPr>
                <w:b w:val="false"/>
                <w:bCs w:val="false"/>
                <w:sz w:val="20"/>
                <w:szCs w:val="20"/>
              </w:rPr>
              <w:t xml:space="preserve">Published Data Sources</w:t>
            </w:r>
          </w:p>
        </w:tc>
        <w:tc>
          <w:tcPr>
            <w:tcW w:type="dxa" w:w="3450"/>
            <w:tcMar>
              <w:top w:type="dxa" w:w="100"/>
              <w:left w:type="dxa" w:w="120"/>
              <w:bottom w:type="dxa" w:w="100"/>
              <w:right w:type="dxa" w:w="120"/>
            </w:tcMar>
          </w:tcPr>
          <w:p>
            <w:r>
              <w:rPr>
                <w:b w:val="false"/>
                <w:bCs w:val="false"/>
                <w:sz w:val="20"/>
                <w:szCs w:val="20"/>
              </w:rPr>
              <w:t xml:space="preserve">Underlying datasets powering Tableau workbooks</w:t>
            </w:r>
          </w:p>
        </w:tc>
        <w:tc>
          <w:tcPr>
            <w:tcW w:type="dxa" w:w="3500"/>
            <w:tcMar>
              <w:top w:type="dxa" w:w="100"/>
              <w:left w:type="dxa" w:w="120"/>
              <w:bottom w:type="dxa" w:w="100"/>
              <w:right w:type="dxa" w:w="120"/>
            </w:tcMar>
          </w:tcPr>
          <w:p>
            <w:r>
              <w:rPr>
                <w:b w:val="false"/>
                <w:bCs w:val="false"/>
                <w:sz w:val="20"/>
                <w:szCs w:val="20"/>
              </w:rPr>
              <w:t xml:space="preserve">Tableau Cloud (SaaS)</w:t>
            </w:r>
          </w:p>
        </w:tc>
      </w:tr>
      <w:tr>
        <w:tc>
          <w:tcPr>
            <w:tcW w:type="dxa" w:w="2400"/>
            <w:tcMar>
              <w:top w:type="dxa" w:w="100"/>
              <w:left w:type="dxa" w:w="120"/>
              <w:bottom w:type="dxa" w:w="100"/>
              <w:right w:type="dxa" w:w="120"/>
            </w:tcMar>
          </w:tcPr>
          <w:p>
            <w:r>
              <w:rPr>
                <w:b w:val="false"/>
                <w:bCs w:val="false"/>
                <w:sz w:val="20"/>
                <w:szCs w:val="20"/>
              </w:rPr>
              <w:t xml:space="preserve">Workbooks &amp; Dashboards</w:t>
            </w:r>
          </w:p>
        </w:tc>
        <w:tc>
          <w:tcPr>
            <w:tcW w:type="dxa" w:w="3450"/>
            <w:tcMar>
              <w:top w:type="dxa" w:w="100"/>
              <w:left w:type="dxa" w:w="120"/>
              <w:bottom w:type="dxa" w:w="100"/>
              <w:right w:type="dxa" w:w="120"/>
            </w:tcMar>
          </w:tcPr>
          <w:p>
            <w:r>
              <w:rPr>
                <w:b w:val="false"/>
                <w:bCs w:val="false"/>
                <w:sz w:val="20"/>
                <w:szCs w:val="20"/>
              </w:rPr>
              <w:t xml:space="preserve">Governed dashboard content selected for signage display</w:t>
            </w:r>
          </w:p>
        </w:tc>
        <w:tc>
          <w:tcPr>
            <w:tcW w:type="dxa" w:w="3500"/>
            <w:tcMar>
              <w:top w:type="dxa" w:w="100"/>
              <w:left w:type="dxa" w:w="120"/>
              <w:bottom w:type="dxa" w:w="100"/>
              <w:right w:type="dxa" w:w="120"/>
            </w:tcMar>
          </w:tcPr>
          <w:p>
            <w:r>
              <w:rPr>
                <w:b w:val="false"/>
                <w:bCs w:val="false"/>
                <w:sz w:val="20"/>
                <w:szCs w:val="20"/>
              </w:rPr>
              <w:t xml:space="preserve">Tableau Cloud (SaaS)</w:t>
            </w:r>
          </w:p>
        </w:tc>
      </w:tr>
      <w:tr>
        <w:tc>
          <w:tcPr>
            <w:tcW w:type="dxa" w:w="2400"/>
            <w:tcMar>
              <w:top w:type="dxa" w:w="100"/>
              <w:left w:type="dxa" w:w="120"/>
              <w:bottom w:type="dxa" w:w="100"/>
              <w:right w:type="dxa" w:w="120"/>
            </w:tcMar>
          </w:tcPr>
          <w:p>
            <w:r>
              <w:rPr>
                <w:b w:val="false"/>
                <w:bCs w:val="false"/>
                <w:sz w:val="20"/>
                <w:szCs w:val="20"/>
              </w:rPr>
              <w:t xml:space="preserve">Connected App</w:t>
            </w:r>
          </w:p>
        </w:tc>
        <w:tc>
          <w:tcPr>
            <w:tcW w:type="dxa" w:w="3450"/>
            <w:tcMar>
              <w:top w:type="dxa" w:w="100"/>
              <w:left w:type="dxa" w:w="120"/>
              <w:bottom w:type="dxa" w:w="100"/>
              <w:right w:type="dxa" w:w="120"/>
            </w:tcMar>
          </w:tcPr>
          <w:p>
            <w:r>
              <w:rPr>
                <w:b w:val="false"/>
                <w:bCs w:val="false"/>
                <w:sz w:val="20"/>
                <w:szCs w:val="20"/>
              </w:rPr>
              <w:t xml:space="preserve">Issues signed JWT trust tokens for embedded, authenticated access (Direct Trust)</w:t>
            </w:r>
          </w:p>
        </w:tc>
        <w:tc>
          <w:tcPr>
            <w:tcW w:type="dxa" w:w="3500"/>
            <w:tcMar>
              <w:top w:type="dxa" w:w="100"/>
              <w:left w:type="dxa" w:w="120"/>
              <w:bottom w:type="dxa" w:w="100"/>
              <w:right w:type="dxa" w:w="120"/>
            </w:tcMar>
          </w:tcPr>
          <w:p>
            <w:r>
              <w:rPr>
                <w:b w:val="false"/>
                <w:bCs w:val="false"/>
                <w:sz w:val="20"/>
                <w:szCs w:val="20"/>
              </w:rPr>
              <w:t xml:space="preserve">Tableau Cloud (SaaS)</w:t>
            </w:r>
          </w:p>
        </w:tc>
      </w:tr>
      <w:tr>
        <w:tc>
          <w:tcPr>
            <w:tcW w:type="dxa" w:w="2400"/>
            <w:tcMar>
              <w:top w:type="dxa" w:w="100"/>
              <w:left w:type="dxa" w:w="120"/>
              <w:bottom w:type="dxa" w:w="100"/>
              <w:right w:type="dxa" w:w="120"/>
            </w:tcMar>
          </w:tcPr>
          <w:p>
            <w:r>
              <w:rPr>
                <w:b w:val="false"/>
                <w:bCs w:val="false"/>
                <w:sz w:val="20"/>
                <w:szCs w:val="20"/>
              </w:rPr>
              <w:t xml:space="preserve">Appspace Passport</w:t>
            </w:r>
          </w:p>
        </w:tc>
        <w:tc>
          <w:tcPr>
            <w:tcW w:type="dxa" w:w="3450"/>
            <w:tcMar>
              <w:top w:type="dxa" w:w="100"/>
              <w:left w:type="dxa" w:w="120"/>
              <w:bottom w:type="dxa" w:w="100"/>
              <w:right w:type="dxa" w:w="120"/>
            </w:tcMar>
          </w:tcPr>
          <w:p>
            <w:r>
              <w:rPr>
                <w:b w:val="false"/>
                <w:bCs w:val="false"/>
                <w:sz w:val="20"/>
                <w:szCs w:val="20"/>
              </w:rPr>
              <w:t xml:space="preserve">Stores Connected App credentials; brokers trust handshake with Tableau</w:t>
            </w:r>
          </w:p>
        </w:tc>
        <w:tc>
          <w:tcPr>
            <w:tcW w:type="dxa" w:w="3500"/>
            <w:tcMar>
              <w:top w:type="dxa" w:w="100"/>
              <w:left w:type="dxa" w:w="120"/>
              <w:bottom w:type="dxa" w:w="100"/>
              <w:right w:type="dxa" w:w="120"/>
            </w:tcMar>
          </w:tcPr>
          <w:p>
            <w:r>
              <w:rPr>
                <w:b w:val="false"/>
                <w:bCs w:val="false"/>
                <w:sz w:val="20"/>
                <w:szCs w:val="20"/>
              </w:rPr>
              <w:t xml:space="preserve">Appspace Cloud (SaaS)</w:t>
            </w:r>
          </w:p>
        </w:tc>
      </w:tr>
      <w:tr>
        <w:tc>
          <w:tcPr>
            <w:tcW w:type="dxa" w:w="2400"/>
            <w:tcMar>
              <w:top w:type="dxa" w:w="100"/>
              <w:left w:type="dxa" w:w="120"/>
              <w:bottom w:type="dxa" w:w="100"/>
              <w:right w:type="dxa" w:w="120"/>
            </w:tcMar>
          </w:tcPr>
          <w:p>
            <w:r>
              <w:rPr>
                <w:b w:val="false"/>
                <w:bCs w:val="false"/>
                <w:sz w:val="20"/>
                <w:szCs w:val="20"/>
              </w:rPr>
              <w:t xml:space="preserve">Appspace Console</w:t>
            </w:r>
          </w:p>
        </w:tc>
        <w:tc>
          <w:tcPr>
            <w:tcW w:type="dxa" w:w="3450"/>
            <w:tcMar>
              <w:top w:type="dxa" w:w="100"/>
              <w:left w:type="dxa" w:w="120"/>
              <w:bottom w:type="dxa" w:w="100"/>
              <w:right w:type="dxa" w:w="120"/>
            </w:tcMar>
          </w:tcPr>
          <w:p>
            <w:r>
              <w:rPr>
                <w:b w:val="false"/>
                <w:bCs w:val="false"/>
                <w:sz w:val="20"/>
                <w:szCs w:val="20"/>
              </w:rPr>
              <w:t xml:space="preserve">Administrative UI for card creation, scheduling, and channel management</w:t>
            </w:r>
          </w:p>
        </w:tc>
        <w:tc>
          <w:tcPr>
            <w:tcW w:type="dxa" w:w="3500"/>
            <w:tcMar>
              <w:top w:type="dxa" w:w="100"/>
              <w:left w:type="dxa" w:w="120"/>
              <w:bottom w:type="dxa" w:w="100"/>
              <w:right w:type="dxa" w:w="120"/>
            </w:tcMar>
          </w:tcPr>
          <w:p>
            <w:r>
              <w:rPr>
                <w:b w:val="false"/>
                <w:bCs w:val="false"/>
                <w:sz w:val="20"/>
                <w:szCs w:val="20"/>
              </w:rPr>
              <w:t xml:space="preserve">Appspace Cloud (SaaS)</w:t>
            </w:r>
          </w:p>
        </w:tc>
      </w:tr>
      <w:tr>
        <w:tc>
          <w:tcPr>
            <w:tcW w:type="dxa" w:w="2400"/>
            <w:tcMar>
              <w:top w:type="dxa" w:w="100"/>
              <w:left w:type="dxa" w:w="120"/>
              <w:bottom w:type="dxa" w:w="100"/>
              <w:right w:type="dxa" w:w="120"/>
            </w:tcMar>
          </w:tcPr>
          <w:p>
            <w:r>
              <w:rPr>
                <w:b w:val="false"/>
                <w:bCs w:val="false"/>
                <w:sz w:val="20"/>
                <w:szCs w:val="20"/>
              </w:rPr>
              <w:t xml:space="preserve">Tableau Card</w:t>
            </w:r>
          </w:p>
        </w:tc>
        <w:tc>
          <w:tcPr>
            <w:tcW w:type="dxa" w:w="3450"/>
            <w:tcMar>
              <w:top w:type="dxa" w:w="100"/>
              <w:left w:type="dxa" w:w="120"/>
              <w:bottom w:type="dxa" w:w="100"/>
              <w:right w:type="dxa" w:w="120"/>
            </w:tcMar>
          </w:tcPr>
          <w:p>
            <w:r>
              <w:rPr>
                <w:b w:val="false"/>
                <w:bCs w:val="false"/>
                <w:sz w:val="20"/>
                <w:szCs w:val="20"/>
              </w:rPr>
              <w:t xml:space="preserve">Content object that embeds the dashboard via authenticated session or public URL</w:t>
            </w:r>
          </w:p>
        </w:tc>
        <w:tc>
          <w:tcPr>
            <w:tcW w:type="dxa" w:w="3500"/>
            <w:tcMar>
              <w:top w:type="dxa" w:w="100"/>
              <w:left w:type="dxa" w:w="120"/>
              <w:bottom w:type="dxa" w:w="100"/>
              <w:right w:type="dxa" w:w="120"/>
            </w:tcMar>
          </w:tcPr>
          <w:p>
            <w:r>
              <w:rPr>
                <w:b w:val="false"/>
                <w:bCs w:val="false"/>
                <w:sz w:val="20"/>
                <w:szCs w:val="20"/>
              </w:rPr>
              <w:t xml:space="preserve">Appspace Cloud (SaaS)</w:t>
            </w:r>
          </w:p>
        </w:tc>
      </w:tr>
      <w:tr>
        <w:tc>
          <w:tcPr>
            <w:tcW w:type="dxa" w:w="2400"/>
            <w:tcMar>
              <w:top w:type="dxa" w:w="100"/>
              <w:left w:type="dxa" w:w="120"/>
              <w:bottom w:type="dxa" w:w="100"/>
              <w:right w:type="dxa" w:w="120"/>
            </w:tcMar>
          </w:tcPr>
          <w:p>
            <w:r>
              <w:rPr>
                <w:b w:val="false"/>
                <w:bCs w:val="false"/>
                <w:sz w:val="20"/>
                <w:szCs w:val="20"/>
              </w:rPr>
              <w:t xml:space="preserve">Content Library / Channel Engine</w:t>
            </w:r>
          </w:p>
        </w:tc>
        <w:tc>
          <w:tcPr>
            <w:tcW w:type="dxa" w:w="3450"/>
            <w:tcMar>
              <w:top w:type="dxa" w:w="100"/>
              <w:left w:type="dxa" w:w="120"/>
              <w:bottom w:type="dxa" w:w="100"/>
              <w:right w:type="dxa" w:w="120"/>
            </w:tcMar>
          </w:tcPr>
          <w:p>
            <w:r>
              <w:rPr>
                <w:b w:val="false"/>
                <w:bCs w:val="false"/>
                <w:sz w:val="20"/>
                <w:szCs w:val="20"/>
              </w:rPr>
              <w:t xml:space="preserve">Manages content versioning, scheduling, and channel/playlist assignment</w:t>
            </w:r>
          </w:p>
        </w:tc>
        <w:tc>
          <w:tcPr>
            <w:tcW w:type="dxa" w:w="3500"/>
            <w:tcMar>
              <w:top w:type="dxa" w:w="100"/>
              <w:left w:type="dxa" w:w="120"/>
              <w:bottom w:type="dxa" w:w="100"/>
              <w:right w:type="dxa" w:w="120"/>
            </w:tcMar>
          </w:tcPr>
          <w:p>
            <w:r>
              <w:rPr>
                <w:b w:val="false"/>
                <w:bCs w:val="false"/>
                <w:sz w:val="20"/>
                <w:szCs w:val="20"/>
              </w:rPr>
              <w:t xml:space="preserve">Appspace Cloud (SaaS)</w:t>
            </w:r>
          </w:p>
        </w:tc>
      </w:tr>
      <w:tr>
        <w:tc>
          <w:tcPr>
            <w:tcW w:type="dxa" w:w="2400"/>
            <w:tcMar>
              <w:top w:type="dxa" w:w="100"/>
              <w:left w:type="dxa" w:w="120"/>
              <w:bottom w:type="dxa" w:w="100"/>
              <w:right w:type="dxa" w:w="120"/>
            </w:tcMar>
          </w:tcPr>
          <w:p>
            <w:r>
              <w:rPr>
                <w:b w:val="false"/>
                <w:bCs w:val="false"/>
                <w:sz w:val="20"/>
                <w:szCs w:val="20"/>
              </w:rPr>
              <w:t xml:space="preserve">Device Agent</w:t>
            </w:r>
          </w:p>
        </w:tc>
        <w:tc>
          <w:tcPr>
            <w:tcW w:type="dxa" w:w="3450"/>
            <w:tcMar>
              <w:top w:type="dxa" w:w="100"/>
              <w:left w:type="dxa" w:w="120"/>
              <w:bottom w:type="dxa" w:w="100"/>
              <w:right w:type="dxa" w:w="120"/>
            </w:tcMar>
          </w:tcPr>
          <w:p>
            <w:r>
              <w:rPr>
                <w:b w:val="false"/>
                <w:bCs w:val="false"/>
                <w:sz w:val="20"/>
                <w:szCs w:val="20"/>
              </w:rPr>
              <w:t xml:space="preserve">Signage player software on the physical display; pulls and renders assigned channel content</w:t>
            </w:r>
          </w:p>
        </w:tc>
        <w:tc>
          <w:tcPr>
            <w:tcW w:type="dxa" w:w="3500"/>
            <w:tcMar>
              <w:top w:type="dxa" w:w="100"/>
              <w:left w:type="dxa" w:w="120"/>
              <w:bottom w:type="dxa" w:w="100"/>
              <w:right w:type="dxa" w:w="120"/>
            </w:tcMar>
          </w:tcPr>
          <w:p>
            <w:r>
              <w:rPr>
                <w:b w:val="false"/>
                <w:bCs w:val="false"/>
                <w:sz w:val="20"/>
                <w:szCs w:val="20"/>
              </w:rPr>
              <w:t xml:space="preserve">Edge – Corporate Network</w:t>
            </w:r>
          </w:p>
        </w:tc>
      </w:tr>
    </w:tbl>
    <w:p>
      <w:pPr>
        <w:spacing w:after="200"/>
      </w:pPr>
    </w:p>
    <w:p>
      <w:pPr>
        <w:pStyle w:val="Heading1"/>
        <w:spacing w:after="160" w:before="360"/>
      </w:pPr>
      <w:r>
        <w:t xml:space="preserve">5. Integration &amp; Authentication Architecture</w:t>
      </w:r>
    </w:p>
    <w:p>
      <w:pPr>
        <w:spacing w:after="160" w:line="276"/>
      </w:pPr>
      <w:r>
        <w:rPr>
          <w:sz w:val="22"/>
          <w:szCs w:val="22"/>
        </w:rPr>
        <w:t xml:space="preserve">Authentication uses Tableau's Direct Trust model via a Connected App. This avoids storing end-user credentials in Appspace and avoids exposing the Tableau Cloud site to unauthenticated public access. The flow below shows the trust establishment sequence and the ongoing request pattern.</w:t>
      </w:r>
    </w:p>
    <w:p>
      <w:pPr>
        <w:spacing w:after="100" w:before="200"/>
        <w:jc w:val="center"/>
      </w:pPr>
      <w:r>
        <w:drawing>
          <wp:inline distT="0" distB="0" distL="0" distR="0">
            <wp:extent cx="36195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5867400"/>
                    </a:xfrm>
                    <a:prstGeom prst="rect">
                      <a:avLst/>
                    </a:prstGeom>
                  </pic:spPr>
                </pic:pic>
              </a:graphicData>
            </a:graphic>
          </wp:inline>
        </w:drawing>
      </w:r>
    </w:p>
    <w:p>
      <w:pPr>
        <w:spacing w:after="200"/>
        <w:jc w:val="center"/>
      </w:pPr>
      <w:r>
        <w:rPr>
          <w:i/>
          <w:iCs/>
          <w:color w:val="595959"/>
          <w:sz w:val="18"/>
          <w:szCs w:val="18"/>
        </w:rPr>
        <w:t xml:space="preserve">Figure 2: Authentication and trust establishment flow</w:t>
      </w:r>
    </w:p>
    <w:p>
      <w:pPr>
        <w:pStyle w:val="Heading2"/>
        <w:spacing w:after="120" w:before="280"/>
      </w:pPr>
      <w:r>
        <w:t xml:space="preserve">5.1 Integration Pattern</w:t>
      </w:r>
    </w:p>
    <w:p>
      <w:pPr>
        <w:pStyle w:val="ListParagraph"/>
        <w:numPr>
          <w:ilvl w:val="0"/>
          <w:numId w:val="2"/>
        </w:numPr>
        <w:spacing w:after="80"/>
      </w:pPr>
      <w:r>
        <w:rPr>
          <w:sz w:val="22"/>
          <w:szCs w:val="22"/>
        </w:rPr>
        <w:t xml:space="preserve">Trust type: OAuth-like JWT-based Direct Trust (Tableau Connected App).</w:t>
      </w:r>
    </w:p>
    <w:p>
      <w:pPr>
        <w:pStyle w:val="ListParagraph"/>
        <w:numPr>
          <w:ilvl w:val="0"/>
          <w:numId w:val="2"/>
        </w:numPr>
        <w:spacing w:after="80"/>
      </w:pPr>
      <w:r>
        <w:rPr>
          <w:sz w:val="22"/>
          <w:szCs w:val="22"/>
        </w:rPr>
        <w:t xml:space="preserve">Credential storage: Client ID and Secret stored encrypted within the Appspace Passport configuration — not visible to card authors.</w:t>
      </w:r>
    </w:p>
    <w:p>
      <w:pPr>
        <w:pStyle w:val="ListParagraph"/>
        <w:numPr>
          <w:ilvl w:val="0"/>
          <w:numId w:val="2"/>
        </w:numPr>
        <w:spacing w:after="80"/>
      </w:pPr>
      <w:r>
        <w:rPr>
          <w:sz w:val="22"/>
          <w:szCs w:val="22"/>
        </w:rPr>
        <w:t xml:space="preserve">Token lifecycle: Short-lived JWTs are minted per session request; no long-lived static credentials are passed to end devices.</w:t>
      </w:r>
    </w:p>
    <w:p>
      <w:pPr>
        <w:pStyle w:val="ListParagraph"/>
        <w:numPr>
          <w:ilvl w:val="0"/>
          <w:numId w:val="2"/>
        </w:numPr>
        <w:spacing w:after="80"/>
      </w:pPr>
      <w:r>
        <w:rPr>
          <w:sz w:val="22"/>
          <w:szCs w:val="22"/>
        </w:rPr>
        <w:t xml:space="preserve">Alternative pattern (not recommended for enterprise): Public Dashboard mode, which uses an unauthenticated Tableau Public URL and bypasses the trust layer entirely.</w:t>
      </w:r>
    </w:p>
    <w:p>
      <w:pPr>
        <w:pStyle w:val="Heading1"/>
        <w:spacing w:after="160" w:before="360"/>
      </w:pPr>
      <w:r>
        <w:t xml:space="preserve">6. Data Flow Architecture</w:t>
      </w:r>
    </w:p>
    <w:p>
      <w:pPr>
        <w:spacing w:after="160" w:line="276"/>
      </w:pPr>
      <w:r>
        <w:rPr>
          <w:sz w:val="22"/>
          <w:szCs w:val="22"/>
        </w:rPr>
        <w:t xml:space="preserve">No data is persisted or cached within Appspace beyond transient render output. Each display refresh triggers a new authenticated request back to Tableau Cloud, ensuring dashboard data shown on signage always reflects the live (or last Tableau-scheduled) extract refresh.</w:t>
      </w:r>
    </w:p>
    <w:p>
      <w:pPr>
        <w:pStyle w:val="ListParagraph"/>
        <w:numPr>
          <w:ilvl w:val="0"/>
          <w:numId w:val="2"/>
        </w:numPr>
        <w:spacing w:after="80"/>
      </w:pPr>
      <w:r>
        <w:rPr>
          <w:sz w:val="22"/>
          <w:szCs w:val="22"/>
        </w:rPr>
        <w:t xml:space="preserve">Data at rest: Remains solely within Tableau Cloud's governed data sources; Appspace does not store underlying data.</w:t>
      </w:r>
    </w:p>
    <w:p>
      <w:pPr>
        <w:pStyle w:val="ListParagraph"/>
        <w:numPr>
          <w:ilvl w:val="0"/>
          <w:numId w:val="2"/>
        </w:numPr>
        <w:spacing w:after="80"/>
      </w:pPr>
      <w:r>
        <w:rPr>
          <w:sz w:val="22"/>
          <w:szCs w:val="22"/>
        </w:rPr>
        <w:t xml:space="preserve">Data in transit: All communication (Tableau ↔ Appspace ↔ Device) is encrypted via HTTPS/TLS 1.2+.</w:t>
      </w:r>
    </w:p>
    <w:p>
      <w:pPr>
        <w:pStyle w:val="ListParagraph"/>
        <w:numPr>
          <w:ilvl w:val="0"/>
          <w:numId w:val="2"/>
        </w:numPr>
        <w:spacing w:after="80"/>
      </w:pPr>
      <w:r>
        <w:rPr>
          <w:sz w:val="22"/>
          <w:szCs w:val="22"/>
        </w:rPr>
        <w:t xml:space="preserve">Refresh behaviour: Dashboard refresh cadence is controlled by Tableau extract/live-connection settings, not by Appspace.</w:t>
      </w:r>
    </w:p>
    <w:p>
      <w:pPr>
        <w:pStyle w:val="ListParagraph"/>
        <w:numPr>
          <w:ilvl w:val="0"/>
          <w:numId w:val="2"/>
        </w:numPr>
        <w:spacing w:after="80"/>
      </w:pPr>
      <w:r>
        <w:rPr>
          <w:sz w:val="22"/>
          <w:szCs w:val="22"/>
        </w:rPr>
        <w:t xml:space="preserve">Caching: Appspace may cache rendered output briefly for display performance; no raw data extraction or storage occurs on Appspace infrastructure.</w:t>
      </w:r>
    </w:p>
    <w:p>
      <w:pPr>
        <w:pStyle w:val="Heading1"/>
        <w:spacing w:after="160" w:before="360"/>
      </w:pPr>
      <w:r>
        <w:t xml:space="preserve">7. Deployment &amp; Network Topology</w:t>
      </w:r>
    </w:p>
    <w:p>
      <w:pPr>
        <w:spacing w:after="160" w:line="276"/>
      </w:pPr>
      <w:r>
        <w:rPr>
          <w:sz w:val="22"/>
          <w:szCs w:val="22"/>
        </w:rPr>
        <w:t xml:space="preserve">Both platforms are fully SaaS-hosted; there is no on-premises server component for this integration. The only on-premises footprint is the signage device endpoints and the administrator workstation, both of which communicate outbound over HTTPS.</w:t>
      </w:r>
    </w:p>
    <w:p>
      <w:pPr>
        <w:spacing w:after="100" w:before="20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i/>
          <w:iCs/>
          <w:color w:val="595959"/>
          <w:sz w:val="18"/>
          <w:szCs w:val="18"/>
        </w:rPr>
        <w:t xml:space="preserve">Figure 3: Deployment and network topology</w:t>
      </w:r>
    </w:p>
    <w:p>
      <w:pPr>
        <w:pStyle w:val="Heading2"/>
        <w:spacing w:after="120" w:before="280"/>
      </w:pPr>
      <w:r>
        <w:t xml:space="preserve">7.1 Network Requirements</w:t>
      </w:r>
    </w:p>
    <w:p>
      <w:pPr>
        <w:pStyle w:val="ListParagraph"/>
        <w:numPr>
          <w:ilvl w:val="0"/>
          <w:numId w:val="2"/>
        </w:numPr>
        <w:spacing w:after="80"/>
      </w:pPr>
      <w:r>
        <w:rPr>
          <w:sz w:val="22"/>
          <w:szCs w:val="22"/>
        </w:rPr>
        <w:t xml:space="preserve">Outbound HTTPS (TCP 443) from the signage device VLAN to Appspace Cloud endpoints — no inbound firewall rules required.</w:t>
      </w:r>
    </w:p>
    <w:p>
      <w:pPr>
        <w:pStyle w:val="ListParagraph"/>
        <w:numPr>
          <w:ilvl w:val="0"/>
          <w:numId w:val="2"/>
        </w:numPr>
        <w:spacing w:after="80"/>
      </w:pPr>
      <w:r>
        <w:rPr>
          <w:sz w:val="22"/>
          <w:szCs w:val="22"/>
        </w:rPr>
        <w:t xml:space="preserve">Outbound HTTPS (TCP 443) from Appspace Cloud to Tableau Cloud for token validation and dashboard embed requests.</w:t>
      </w:r>
    </w:p>
    <w:p>
      <w:pPr>
        <w:pStyle w:val="ListParagraph"/>
        <w:numPr>
          <w:ilvl w:val="0"/>
          <w:numId w:val="2"/>
        </w:numPr>
        <w:spacing w:after="80"/>
      </w:pPr>
      <w:r>
        <w:rPr>
          <w:sz w:val="22"/>
          <w:szCs w:val="22"/>
        </w:rPr>
        <w:t xml:space="preserve">No direct network path required between signage devices and Tableau Cloud — all dashboard content is proxied through Appspace.</w:t>
      </w:r>
    </w:p>
    <w:p>
      <w:pPr>
        <w:pStyle w:val="Heading1"/>
        <w:spacing w:after="160" w:before="360"/>
      </w:pPr>
      <w:r>
        <w:t xml:space="preserve">8. Security Architecture</w:t>
      </w:r>
    </w:p>
    <w:p>
      <w:pPr>
        <w:pStyle w:val="Heading2"/>
        <w:spacing w:after="120" w:before="280"/>
      </w:pPr>
      <w:r>
        <w:t xml:space="preserve">8.1 Authentication &amp; Authorization</w:t>
      </w:r>
    </w:p>
    <w:p>
      <w:pPr>
        <w:pStyle w:val="ListParagraph"/>
        <w:numPr>
          <w:ilvl w:val="0"/>
          <w:numId w:val="2"/>
        </w:numPr>
        <w:spacing w:after="80"/>
      </w:pPr>
      <w:r>
        <w:rPr>
          <w:sz w:val="22"/>
          <w:szCs w:val="22"/>
        </w:rPr>
        <w:t xml:space="preserve">Direct Trust (Connected App) removes the need for shared or embedded end-user passwords.</w:t>
      </w:r>
    </w:p>
    <w:p>
      <w:pPr>
        <w:pStyle w:val="ListParagraph"/>
        <w:numPr>
          <w:ilvl w:val="0"/>
          <w:numId w:val="2"/>
        </w:numPr>
        <w:spacing w:after="80"/>
      </w:pPr>
      <w:r>
        <w:rPr>
          <w:sz w:val="22"/>
          <w:szCs w:val="22"/>
        </w:rPr>
        <w:t xml:space="preserve">Dashboard-level permissions remain governed entirely within Tableau Cloud; Appspace cannot expose content beyond what the Connected App's scoped access allows.</w:t>
      </w:r>
    </w:p>
    <w:p>
      <w:pPr>
        <w:pStyle w:val="ListParagraph"/>
        <w:numPr>
          <w:ilvl w:val="0"/>
          <w:numId w:val="2"/>
        </w:numPr>
        <w:spacing w:after="80"/>
      </w:pPr>
      <w:r>
        <w:rPr>
          <w:sz w:val="22"/>
          <w:szCs w:val="22"/>
        </w:rPr>
        <w:t xml:space="preserve">Recommendation: scope the Connected App to the minimum required Tableau project(s) rather than site-wide access.</w:t>
      </w:r>
    </w:p>
    <w:p>
      <w:pPr>
        <w:pStyle w:val="Heading2"/>
        <w:spacing w:after="120" w:before="280"/>
      </w:pPr>
      <w:r>
        <w:t xml:space="preserve">8.2 Data Protection</w:t>
      </w:r>
    </w:p>
    <w:p>
      <w:pPr>
        <w:pStyle w:val="ListParagraph"/>
        <w:numPr>
          <w:ilvl w:val="0"/>
          <w:numId w:val="2"/>
        </w:numPr>
        <w:spacing w:after="80"/>
      </w:pPr>
      <w:r>
        <w:rPr>
          <w:sz w:val="22"/>
          <w:szCs w:val="22"/>
        </w:rPr>
        <w:t xml:space="preserve">All traffic encrypted in transit (TLS 1.2+); no plaintext credential transmission.</w:t>
      </w:r>
    </w:p>
    <w:p>
      <w:pPr>
        <w:pStyle w:val="ListParagraph"/>
        <w:numPr>
          <w:ilvl w:val="0"/>
          <w:numId w:val="2"/>
        </w:numPr>
        <w:spacing w:after="80"/>
      </w:pPr>
      <w:r>
        <w:rPr>
          <w:sz w:val="22"/>
          <w:szCs w:val="22"/>
        </w:rPr>
        <w:t xml:space="preserve">No sensitive data at rest within Appspace — dashboards are rendered on demand, not stored.</w:t>
      </w:r>
    </w:p>
    <w:p>
      <w:pPr>
        <w:pStyle w:val="Heading2"/>
        <w:spacing w:after="120" w:before="280"/>
      </w:pPr>
      <w:r>
        <w:t xml:space="preserve">8.3 Credential Management</w:t>
      </w:r>
    </w:p>
    <w:p>
      <w:pPr>
        <w:pStyle w:val="ListParagraph"/>
        <w:numPr>
          <w:ilvl w:val="0"/>
          <w:numId w:val="2"/>
        </w:numPr>
        <w:spacing w:after="80"/>
      </w:pPr>
      <w:r>
        <w:rPr>
          <w:sz w:val="22"/>
          <w:szCs w:val="22"/>
        </w:rPr>
        <w:t xml:space="preserve">Connected App Client ID/Secret should be rotated per organizational key-rotation policy.</w:t>
      </w:r>
    </w:p>
    <w:p>
      <w:pPr>
        <w:pStyle w:val="ListParagraph"/>
        <w:numPr>
          <w:ilvl w:val="0"/>
          <w:numId w:val="2"/>
        </w:numPr>
        <w:spacing w:after="80"/>
      </w:pPr>
      <w:r>
        <w:rPr>
          <w:sz w:val="22"/>
          <w:szCs w:val="22"/>
        </w:rPr>
        <w:t xml:space="preserve">Access to the Appspace Passport configuration should be restricted to Appspace Account Owners only.</w:t>
      </w:r>
    </w:p>
    <w:p>
      <w:pPr>
        <w:pStyle w:val="Heading2"/>
        <w:spacing w:after="120" w:before="280"/>
      </w:pPr>
      <w:r>
        <w:t xml:space="preserve">8.4 Auditability</w:t>
      </w:r>
    </w:p>
    <w:p>
      <w:pPr>
        <w:pStyle w:val="ListParagraph"/>
        <w:numPr>
          <w:ilvl w:val="0"/>
          <w:numId w:val="2"/>
        </w:numPr>
        <w:spacing w:after="80"/>
      </w:pPr>
      <w:r>
        <w:rPr>
          <w:sz w:val="22"/>
          <w:szCs w:val="22"/>
        </w:rPr>
        <w:t xml:space="preserve">Tableau Cloud audit logs record Connected App token issuance and dashboard access events.</w:t>
      </w:r>
    </w:p>
    <w:p>
      <w:pPr>
        <w:pStyle w:val="ListParagraph"/>
        <w:numPr>
          <w:ilvl w:val="0"/>
          <w:numId w:val="2"/>
        </w:numPr>
        <w:spacing w:after="80"/>
      </w:pPr>
      <w:r>
        <w:rPr>
          <w:sz w:val="22"/>
          <w:szCs w:val="22"/>
        </w:rPr>
        <w:t xml:space="preserve">Appspace activity logs record card creation, publishing, and channel assignment changes.</w:t>
      </w:r>
    </w:p>
    <w:p>
      <w:pPr>
        <w:pStyle w:val="Heading1"/>
        <w:spacing w:after="160" w:before="360"/>
      </w:pPr>
      <w:r>
        <w:t xml:space="preserve">9.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E2EFDA" w:val="clear"/>
            <w:tcMar>
              <w:top w:type="dxa" w:w="100"/>
              <w:left w:type="dxa" w:w="120"/>
              <w:bottom w:type="dxa" w:w="100"/>
              <w:right w:type="dxa" w:w="120"/>
            </w:tcMar>
          </w:tcPr>
          <w:p>
            <w:r>
              <w:rPr>
                <w:b/>
                <w:bCs/>
                <w:sz w:val="20"/>
                <w:szCs w:val="20"/>
              </w:rPr>
              <w:t xml:space="preserve">Attribute</w:t>
            </w:r>
          </w:p>
        </w:tc>
        <w:tc>
          <w:tcPr>
            <w:tcW w:type="dxa" w:w="6750"/>
            <w:shd w:fill="E2EFDA" w:val="clear"/>
            <w:tcMar>
              <w:top w:type="dxa" w:w="100"/>
              <w:left w:type="dxa" w:w="120"/>
              <w:bottom w:type="dxa" w:w="100"/>
              <w:right w:type="dxa" w:w="120"/>
            </w:tcMar>
          </w:tcPr>
          <w:p>
            <w:r>
              <w:rPr>
                <w:b/>
                <w:bCs/>
                <w:sz w:val="20"/>
                <w:szCs w:val="20"/>
              </w:rPr>
              <w:t xml:space="preserve">Consideration</w:t>
            </w:r>
          </w:p>
        </w:tc>
      </w:tr>
      <w:tr>
        <w:tc>
          <w:tcPr>
            <w:tcW w:type="dxa" w:w="2600"/>
            <w:tcMar>
              <w:top w:type="dxa" w:w="100"/>
              <w:left w:type="dxa" w:w="120"/>
              <w:bottom w:type="dxa" w:w="100"/>
              <w:right w:type="dxa" w:w="120"/>
            </w:tcMar>
          </w:tcPr>
          <w:p>
            <w:r>
              <w:rPr>
                <w:b w:val="false"/>
                <w:bCs w:val="false"/>
                <w:sz w:val="20"/>
                <w:szCs w:val="20"/>
              </w:rPr>
              <w:t xml:space="preserve">Availability</w:t>
            </w:r>
          </w:p>
        </w:tc>
        <w:tc>
          <w:tcPr>
            <w:tcW w:type="dxa" w:w="6750"/>
            <w:tcMar>
              <w:top w:type="dxa" w:w="100"/>
              <w:left w:type="dxa" w:w="120"/>
              <w:bottom w:type="dxa" w:w="100"/>
              <w:right w:type="dxa" w:w="120"/>
            </w:tcMar>
          </w:tcPr>
          <w:p>
            <w:r>
              <w:rPr>
                <w:b w:val="false"/>
                <w:bCs w:val="false"/>
                <w:sz w:val="20"/>
                <w:szCs w:val="20"/>
              </w:rPr>
              <w:t xml:space="preserve">Dependent on Tableau Cloud and Appspace Cloud SaaS SLAs; no self-hosted single point of failure introduced by this integration.</w:t>
            </w:r>
          </w:p>
        </w:tc>
      </w:tr>
      <w:tr>
        <w:tc>
          <w:tcPr>
            <w:tcW w:type="dxa" w:w="2600"/>
            <w:tcMar>
              <w:top w:type="dxa" w:w="100"/>
              <w:left w:type="dxa" w:w="120"/>
              <w:bottom w:type="dxa" w:w="100"/>
              <w:right w:type="dxa" w:w="120"/>
            </w:tcMar>
          </w:tcPr>
          <w:p>
            <w:r>
              <w:rPr>
                <w:b w:val="false"/>
                <w:bCs w:val="false"/>
                <w:sz w:val="20"/>
                <w:szCs w:val="20"/>
              </w:rPr>
              <w:t xml:space="preserve">Scalability</w:t>
            </w:r>
          </w:p>
        </w:tc>
        <w:tc>
          <w:tcPr>
            <w:tcW w:type="dxa" w:w="6750"/>
            <w:tcMar>
              <w:top w:type="dxa" w:w="100"/>
              <w:left w:type="dxa" w:w="120"/>
              <w:bottom w:type="dxa" w:w="100"/>
              <w:right w:type="dxa" w:w="120"/>
            </w:tcMar>
          </w:tcPr>
          <w:p>
            <w:r>
              <w:rPr>
                <w:b w:val="false"/>
                <w:bCs w:val="false"/>
                <w:sz w:val="20"/>
                <w:szCs w:val="20"/>
              </w:rPr>
              <w:t xml:space="preserve">Additional signage devices or dashboards can be added without architectural change — scaling is handled by both SaaS platforms.</w:t>
            </w:r>
          </w:p>
        </w:tc>
      </w:tr>
      <w:tr>
        <w:tc>
          <w:tcPr>
            <w:tcW w:type="dxa" w:w="2600"/>
            <w:tcMar>
              <w:top w:type="dxa" w:w="100"/>
              <w:left w:type="dxa" w:w="120"/>
              <w:bottom w:type="dxa" w:w="100"/>
              <w:right w:type="dxa" w:w="120"/>
            </w:tcMar>
          </w:tcPr>
          <w:p>
            <w:r>
              <w:rPr>
                <w:b w:val="false"/>
                <w:bCs w:val="false"/>
                <w:sz w:val="20"/>
                <w:szCs w:val="20"/>
              </w:rPr>
              <w:t xml:space="preserve">Performance</w:t>
            </w:r>
          </w:p>
        </w:tc>
        <w:tc>
          <w:tcPr>
            <w:tcW w:type="dxa" w:w="6750"/>
            <w:tcMar>
              <w:top w:type="dxa" w:w="100"/>
              <w:left w:type="dxa" w:w="120"/>
              <w:bottom w:type="dxa" w:w="100"/>
              <w:right w:type="dxa" w:w="120"/>
            </w:tcMar>
          </w:tcPr>
          <w:p>
            <w:r>
              <w:rPr>
                <w:b w:val="false"/>
                <w:bCs w:val="false"/>
                <w:sz w:val="20"/>
                <w:szCs w:val="20"/>
              </w:rPr>
              <w:t xml:space="preserve">Dashboard render time on signage is bound by Tableau query/extract performance; dashboards should be optimized for a fixed, non-interactive canvas.</w:t>
            </w:r>
          </w:p>
        </w:tc>
      </w:tr>
      <w:tr>
        <w:tc>
          <w:tcPr>
            <w:tcW w:type="dxa" w:w="2600"/>
            <w:tcMar>
              <w:top w:type="dxa" w:w="100"/>
              <w:left w:type="dxa" w:w="120"/>
              <w:bottom w:type="dxa" w:w="100"/>
              <w:right w:type="dxa" w:w="120"/>
            </w:tcMar>
          </w:tcPr>
          <w:p>
            <w:r>
              <w:rPr>
                <w:b w:val="false"/>
                <w:bCs w:val="false"/>
                <w:sz w:val="20"/>
                <w:szCs w:val="20"/>
              </w:rPr>
              <w:t xml:space="preserve">Maintainability</w:t>
            </w:r>
          </w:p>
        </w:tc>
        <w:tc>
          <w:tcPr>
            <w:tcW w:type="dxa" w:w="6750"/>
            <w:tcMar>
              <w:top w:type="dxa" w:w="100"/>
              <w:left w:type="dxa" w:w="120"/>
              <w:bottom w:type="dxa" w:w="100"/>
              <w:right w:type="dxa" w:w="120"/>
            </w:tcMar>
          </w:tcPr>
          <w:p>
            <w:r>
              <w:rPr>
                <w:b w:val="false"/>
                <w:bCs w:val="false"/>
                <w:sz w:val="20"/>
                <w:szCs w:val="20"/>
              </w:rPr>
              <w:t xml:space="preserve">Single Passport can be reused across many cards, minimizing configuration drift.</w:t>
            </w:r>
          </w:p>
        </w:tc>
      </w:tr>
      <w:tr>
        <w:tc>
          <w:tcPr>
            <w:tcW w:type="dxa" w:w="2600"/>
            <w:tcMar>
              <w:top w:type="dxa" w:w="100"/>
              <w:left w:type="dxa" w:w="120"/>
              <w:bottom w:type="dxa" w:w="100"/>
              <w:right w:type="dxa" w:w="120"/>
            </w:tcMar>
          </w:tcPr>
          <w:p>
            <w:r>
              <w:rPr>
                <w:b w:val="false"/>
                <w:bCs w:val="false"/>
                <w:sz w:val="20"/>
                <w:szCs w:val="20"/>
              </w:rPr>
              <w:t xml:space="preserve">Portability</w:t>
            </w:r>
          </w:p>
        </w:tc>
        <w:tc>
          <w:tcPr>
            <w:tcW w:type="dxa" w:w="6750"/>
            <w:tcMar>
              <w:top w:type="dxa" w:w="100"/>
              <w:left w:type="dxa" w:w="120"/>
              <w:bottom w:type="dxa" w:w="100"/>
              <w:right w:type="dxa" w:w="120"/>
            </w:tcMar>
          </w:tcPr>
          <w:p>
            <w:r>
              <w:rPr>
                <w:b w:val="false"/>
                <w:bCs w:val="false"/>
                <w:sz w:val="20"/>
                <w:szCs w:val="20"/>
              </w:rPr>
              <w:t xml:space="preserve">Loosely coupled SaaS-to-SaaS design; either platform can be replaced independently if the trust contract is re-established.</w:t>
            </w:r>
          </w:p>
        </w:tc>
      </w:tr>
    </w:tbl>
    <w:p>
      <w:pPr>
        <w:spacing w:after="200"/>
      </w:pPr>
    </w:p>
    <w:p>
      <w:pPr>
        <w:pStyle w:val="Heading1"/>
        <w:spacing w:after="160" w:before="360"/>
      </w:pPr>
      <w:r>
        <w:t xml:space="preserve">10. Technology Stack Summary</w:t>
      </w:r>
    </w:p>
    <w:p>
      <w:pPr>
        <w:pStyle w:val="ListParagraph"/>
        <w:numPr>
          <w:ilvl w:val="0"/>
          <w:numId w:val="2"/>
        </w:numPr>
        <w:spacing w:after="80"/>
      </w:pPr>
      <w:r>
        <w:rPr>
          <w:sz w:val="22"/>
          <w:szCs w:val="22"/>
        </w:rPr>
        <w:t xml:space="preserve">Analytics / BI Platform: Tableau Cloud</w:t>
      </w:r>
    </w:p>
    <w:p>
      <w:pPr>
        <w:pStyle w:val="ListParagraph"/>
        <w:numPr>
          <w:ilvl w:val="0"/>
          <w:numId w:val="2"/>
        </w:numPr>
        <w:spacing w:after="80"/>
      </w:pPr>
      <w:r>
        <w:rPr>
          <w:sz w:val="22"/>
          <w:szCs w:val="22"/>
        </w:rPr>
        <w:t xml:space="preserve">Authentication: Tableau Connected App (Direct Trust, JWT)</w:t>
      </w:r>
    </w:p>
    <w:p>
      <w:pPr>
        <w:pStyle w:val="ListParagraph"/>
        <w:numPr>
          <w:ilvl w:val="0"/>
          <w:numId w:val="2"/>
        </w:numPr>
        <w:spacing w:after="80"/>
      </w:pPr>
      <w:r>
        <w:rPr>
          <w:sz w:val="22"/>
          <w:szCs w:val="22"/>
        </w:rPr>
        <w:t xml:space="preserve">Digital Signage CMS: Appspace Cloud (version 8.1+)</w:t>
      </w:r>
    </w:p>
    <w:p>
      <w:pPr>
        <w:pStyle w:val="ListParagraph"/>
        <w:numPr>
          <w:ilvl w:val="0"/>
          <w:numId w:val="2"/>
        </w:numPr>
        <w:spacing w:after="80"/>
      </w:pPr>
      <w:r>
        <w:rPr>
          <w:sz w:val="22"/>
          <w:szCs w:val="22"/>
        </w:rPr>
        <w:t xml:space="preserve">Content Type: Appspace “Tableau Card” (Data card template)</w:t>
      </w:r>
    </w:p>
    <w:p>
      <w:pPr>
        <w:pStyle w:val="ListParagraph"/>
        <w:numPr>
          <w:ilvl w:val="0"/>
          <w:numId w:val="2"/>
        </w:numPr>
        <w:spacing w:after="80"/>
      </w:pPr>
      <w:r>
        <w:rPr>
          <w:sz w:val="22"/>
          <w:szCs w:val="22"/>
        </w:rPr>
        <w:t xml:space="preserve">Transport Security: HTTPS / TLS 1.2+</w:t>
      </w:r>
    </w:p>
    <w:p>
      <w:pPr>
        <w:pStyle w:val="ListParagraph"/>
        <w:numPr>
          <w:ilvl w:val="0"/>
          <w:numId w:val="2"/>
        </w:numPr>
        <w:spacing w:after="80"/>
      </w:pPr>
      <w:r>
        <w:rPr>
          <w:sz w:val="22"/>
          <w:szCs w:val="22"/>
        </w:rPr>
        <w:t xml:space="preserve">Display Endpoints: Appspace-registered signage device agents</w:t>
      </w:r>
    </w:p>
    <w:p>
      <w:pPr>
        <w:pStyle w:val="Heading1"/>
        <w:spacing w:after="160" w:before="360"/>
      </w:pPr>
      <w:r>
        <w:t xml:space="preserve">11. Assumptions, Constraints &amp; Dependencies</w:t>
      </w:r>
    </w:p>
    <w:p>
      <w:pPr>
        <w:pStyle w:val="Heading2"/>
        <w:spacing w:after="120" w:before="280"/>
      </w:pPr>
      <w:r>
        <w:t xml:space="preserve">11.1 Assumptions</w:t>
      </w:r>
    </w:p>
    <w:p>
      <w:pPr>
        <w:pStyle w:val="ListParagraph"/>
        <w:numPr>
          <w:ilvl w:val="0"/>
          <w:numId w:val="2"/>
        </w:numPr>
        <w:spacing w:after="80"/>
      </w:pPr>
      <w:r>
        <w:rPr>
          <w:sz w:val="22"/>
          <w:szCs w:val="22"/>
        </w:rPr>
        <w:t xml:space="preserve">Tableau Cloud subscription includes Creator-level access required to configure Connected Apps.</w:t>
      </w:r>
    </w:p>
    <w:p>
      <w:pPr>
        <w:pStyle w:val="ListParagraph"/>
        <w:numPr>
          <w:ilvl w:val="0"/>
          <w:numId w:val="2"/>
        </w:numPr>
        <w:spacing w:after="80"/>
      </w:pPr>
      <w:r>
        <w:rPr>
          <w:sz w:val="22"/>
          <w:szCs w:val="22"/>
        </w:rPr>
        <w:t xml:space="preserve">Appspace tenant is licensed at version 8.1 or later, supporting the Tableau Card type.</w:t>
      </w:r>
    </w:p>
    <w:p>
      <w:pPr>
        <w:pStyle w:val="ListParagraph"/>
        <w:numPr>
          <w:ilvl w:val="0"/>
          <w:numId w:val="2"/>
        </w:numPr>
        <w:spacing w:after="80"/>
      </w:pPr>
      <w:r>
        <w:rPr>
          <w:sz w:val="22"/>
          <w:szCs w:val="22"/>
        </w:rPr>
        <w:t xml:space="preserve">Signage devices already registered and provisioned within Appspace prior to this integration.</w:t>
      </w:r>
    </w:p>
    <w:p>
      <w:pPr>
        <w:pStyle w:val="Heading2"/>
        <w:spacing w:after="120" w:before="280"/>
      </w:pPr>
      <w:r>
        <w:t xml:space="preserve">11.2 Constraints</w:t>
      </w:r>
    </w:p>
    <w:p>
      <w:pPr>
        <w:pStyle w:val="ListParagraph"/>
        <w:numPr>
          <w:ilvl w:val="0"/>
          <w:numId w:val="2"/>
        </w:numPr>
        <w:spacing w:after="80"/>
      </w:pPr>
      <w:r>
        <w:rPr>
          <w:sz w:val="22"/>
          <w:szCs w:val="22"/>
        </w:rPr>
        <w:t xml:space="preserve">Only Tableau dashboards (not reports) can be embedded — a platform limitation of the Appspace Tableau Card.</w:t>
      </w:r>
    </w:p>
    <w:p>
      <w:pPr>
        <w:pStyle w:val="ListParagraph"/>
        <w:numPr>
          <w:ilvl w:val="0"/>
          <w:numId w:val="2"/>
        </w:numPr>
        <w:spacing w:after="80"/>
      </w:pPr>
      <w:r>
        <w:rPr>
          <w:sz w:val="22"/>
          <w:szCs w:val="22"/>
        </w:rPr>
        <w:t xml:space="preserve">Dashboards are not responsive within the card; layout must be purpose-built for the target display resolution.</w:t>
      </w:r>
    </w:p>
    <w:p>
      <w:pPr>
        <w:pStyle w:val="ListParagraph"/>
        <w:numPr>
          <w:ilvl w:val="0"/>
          <w:numId w:val="2"/>
        </w:numPr>
        <w:spacing w:after="80"/>
      </w:pPr>
      <w:r>
        <w:rPr>
          <w:sz w:val="22"/>
          <w:szCs w:val="22"/>
        </w:rPr>
        <w:t xml:space="preserve">No architectural control over Tableau Cloud or Appspace Cloud infrastructure — both are third-party managed SaaS.</w:t>
      </w:r>
    </w:p>
    <w:p>
      <w:pPr>
        <w:pStyle w:val="Heading2"/>
        <w:spacing w:after="120" w:before="280"/>
      </w:pPr>
      <w:r>
        <w:t xml:space="preserve">11.3 Dependencies</w:t>
      </w:r>
    </w:p>
    <w:p>
      <w:pPr>
        <w:pStyle w:val="ListParagraph"/>
        <w:numPr>
          <w:ilvl w:val="0"/>
          <w:numId w:val="2"/>
        </w:numPr>
        <w:spacing w:after="80"/>
      </w:pPr>
      <w:r>
        <w:rPr>
          <w:sz w:val="22"/>
          <w:szCs w:val="22"/>
        </w:rPr>
        <w:t xml:space="preserve">Availability and API stability of Tableau Cloud's Connected App / Direct Trust feature.</w:t>
      </w:r>
    </w:p>
    <w:p>
      <w:pPr>
        <w:pStyle w:val="ListParagraph"/>
        <w:numPr>
          <w:ilvl w:val="0"/>
          <w:numId w:val="2"/>
        </w:numPr>
        <w:spacing w:after="80"/>
      </w:pPr>
      <w:r>
        <w:rPr>
          <w:sz w:val="22"/>
          <w:szCs w:val="22"/>
        </w:rPr>
        <w:t xml:space="preserve">Availability of Appspace Cloud's Passport and Tableau Card content type.</w:t>
      </w:r>
    </w:p>
    <w:p>
      <w:pPr>
        <w:pStyle w:val="Heading1"/>
        <w:spacing w:after="160" w:before="360"/>
      </w:pPr>
      <w:r>
        <w:t xml:space="preserve">12.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c>
          <w:tcPr>
            <w:tcW w:type="dxa" w:w="3200"/>
            <w:shd w:fill="FFF2CC" w:val="clear"/>
            <w:tcMar>
              <w:top w:type="dxa" w:w="100"/>
              <w:left w:type="dxa" w:w="120"/>
              <w:bottom w:type="dxa" w:w="100"/>
              <w:right w:type="dxa" w:w="120"/>
            </w:tcMar>
          </w:tcPr>
          <w:p>
            <w:r>
              <w:rPr>
                <w:b/>
                <w:bCs/>
                <w:sz w:val="20"/>
                <w:szCs w:val="20"/>
              </w:rPr>
              <w:t xml:space="preserve">Risk</w:t>
            </w:r>
          </w:p>
        </w:tc>
        <w:tc>
          <w:tcPr>
            <w:tcW w:type="dxa" w:w="3200"/>
            <w:shd w:fill="FFF2CC" w:val="clear"/>
            <w:tcMar>
              <w:top w:type="dxa" w:w="100"/>
              <w:left w:type="dxa" w:w="120"/>
              <w:bottom w:type="dxa" w:w="100"/>
              <w:right w:type="dxa" w:w="120"/>
            </w:tcMar>
          </w:tcPr>
          <w:p>
            <w:r>
              <w:rPr>
                <w:b/>
                <w:bCs/>
                <w:sz w:val="20"/>
                <w:szCs w:val="20"/>
              </w:rPr>
              <w:t xml:space="preserve">Impact</w:t>
            </w:r>
          </w:p>
        </w:tc>
        <w:tc>
          <w:tcPr>
            <w:tcW w:type="dxa" w:w="2950"/>
            <w:shd w:fill="FFF2CC" w:val="clear"/>
            <w:tcMar>
              <w:top w:type="dxa" w:w="100"/>
              <w:left w:type="dxa" w:w="120"/>
              <w:bottom w:type="dxa" w:w="100"/>
              <w:right w:type="dxa" w:w="120"/>
            </w:tcMar>
          </w:tcPr>
          <w:p>
            <w:r>
              <w:rPr>
                <w:b/>
                <w:bCs/>
                <w:sz w:val="20"/>
                <w:szCs w:val="20"/>
              </w:rPr>
              <w:t xml:space="preserve">Mitigation</w:t>
            </w:r>
          </w:p>
        </w:tc>
      </w:tr>
      <w:tr>
        <w:tc>
          <w:tcPr>
            <w:tcW w:type="dxa" w:w="3200"/>
            <w:tcMar>
              <w:top w:type="dxa" w:w="100"/>
              <w:left w:type="dxa" w:w="120"/>
              <w:bottom w:type="dxa" w:w="100"/>
              <w:right w:type="dxa" w:w="120"/>
            </w:tcMar>
          </w:tcPr>
          <w:p>
            <w:r>
              <w:rPr>
                <w:b w:val="false"/>
                <w:bCs w:val="false"/>
                <w:sz w:val="20"/>
                <w:szCs w:val="20"/>
              </w:rPr>
              <w:t xml:space="preserve">Connected App token/secret expires or is revoked</w:t>
            </w:r>
          </w:p>
        </w:tc>
        <w:tc>
          <w:tcPr>
            <w:tcW w:type="dxa" w:w="3200"/>
            <w:tcMar>
              <w:top w:type="dxa" w:w="100"/>
              <w:left w:type="dxa" w:w="120"/>
              <w:bottom w:type="dxa" w:w="100"/>
              <w:right w:type="dxa" w:w="120"/>
            </w:tcMar>
          </w:tcPr>
          <w:p>
            <w:r>
              <w:rPr>
                <w:b w:val="false"/>
                <w:bCs w:val="false"/>
                <w:sz w:val="20"/>
                <w:szCs w:val="20"/>
              </w:rPr>
              <w:t xml:space="preserve">Dashboards stop rendering on all signage using that Passport</w:t>
            </w:r>
          </w:p>
        </w:tc>
        <w:tc>
          <w:tcPr>
            <w:tcW w:type="dxa" w:w="2950"/>
            <w:tcMar>
              <w:top w:type="dxa" w:w="100"/>
              <w:left w:type="dxa" w:w="120"/>
              <w:bottom w:type="dxa" w:w="100"/>
              <w:right w:type="dxa" w:w="120"/>
            </w:tcMar>
          </w:tcPr>
          <w:p>
            <w:r>
              <w:rPr>
                <w:b w:val="false"/>
                <w:bCs w:val="false"/>
                <w:sz w:val="20"/>
                <w:szCs w:val="20"/>
              </w:rPr>
              <w:t xml:space="preserve">Scheduled credential review; alerting on authentication failure</w:t>
            </w:r>
          </w:p>
        </w:tc>
      </w:tr>
      <w:tr>
        <w:tc>
          <w:tcPr>
            <w:tcW w:type="dxa" w:w="3200"/>
            <w:tcMar>
              <w:top w:type="dxa" w:w="100"/>
              <w:left w:type="dxa" w:w="120"/>
              <w:bottom w:type="dxa" w:w="100"/>
              <w:right w:type="dxa" w:w="120"/>
            </w:tcMar>
          </w:tcPr>
          <w:p>
            <w:r>
              <w:rPr>
                <w:b w:val="false"/>
                <w:bCs w:val="false"/>
                <w:sz w:val="20"/>
                <w:szCs w:val="20"/>
              </w:rPr>
              <w:t xml:space="preserve">Over-broad Connected App scope</w:t>
            </w:r>
          </w:p>
        </w:tc>
        <w:tc>
          <w:tcPr>
            <w:tcW w:type="dxa" w:w="3200"/>
            <w:tcMar>
              <w:top w:type="dxa" w:w="100"/>
              <w:left w:type="dxa" w:w="120"/>
              <w:bottom w:type="dxa" w:w="100"/>
              <w:right w:type="dxa" w:w="120"/>
            </w:tcMar>
          </w:tcPr>
          <w:p>
            <w:r>
              <w:rPr>
                <w:b w:val="false"/>
                <w:bCs w:val="false"/>
                <w:sz w:val="20"/>
                <w:szCs w:val="20"/>
              </w:rPr>
              <w:t xml:space="preserve">Signage could expose more data than intended</w:t>
            </w:r>
          </w:p>
        </w:tc>
        <w:tc>
          <w:tcPr>
            <w:tcW w:type="dxa" w:w="2950"/>
            <w:tcMar>
              <w:top w:type="dxa" w:w="100"/>
              <w:left w:type="dxa" w:w="120"/>
              <w:bottom w:type="dxa" w:w="100"/>
              <w:right w:type="dxa" w:w="120"/>
            </w:tcMar>
          </w:tcPr>
          <w:p>
            <w:r>
              <w:rPr>
                <w:b w:val="false"/>
                <w:bCs w:val="false"/>
                <w:sz w:val="20"/>
                <w:szCs w:val="20"/>
              </w:rPr>
              <w:t xml:space="preserve">Scope Connected App to specific project(s); least-privilege review</w:t>
            </w:r>
          </w:p>
        </w:tc>
      </w:tr>
      <w:tr>
        <w:tc>
          <w:tcPr>
            <w:tcW w:type="dxa" w:w="3200"/>
            <w:tcMar>
              <w:top w:type="dxa" w:w="100"/>
              <w:left w:type="dxa" w:w="120"/>
              <w:bottom w:type="dxa" w:w="100"/>
              <w:right w:type="dxa" w:w="120"/>
            </w:tcMar>
          </w:tcPr>
          <w:p>
            <w:r>
              <w:rPr>
                <w:b w:val="false"/>
                <w:bCs w:val="false"/>
                <w:sz w:val="20"/>
                <w:szCs w:val="20"/>
              </w:rPr>
              <w:t xml:space="preserve">Use of Public Dashboard mode for internal data</w:t>
            </w:r>
          </w:p>
        </w:tc>
        <w:tc>
          <w:tcPr>
            <w:tcW w:type="dxa" w:w="3200"/>
            <w:tcMar>
              <w:top w:type="dxa" w:w="100"/>
              <w:left w:type="dxa" w:w="120"/>
              <w:bottom w:type="dxa" w:w="100"/>
              <w:right w:type="dxa" w:w="120"/>
            </w:tcMar>
          </w:tcPr>
          <w:p>
            <w:r>
              <w:rPr>
                <w:b w:val="false"/>
                <w:bCs w:val="false"/>
                <w:sz w:val="20"/>
                <w:szCs w:val="20"/>
              </w:rPr>
              <w:t xml:space="preserve">Unauthenticated public exposure of enterprise data</w:t>
            </w:r>
          </w:p>
        </w:tc>
        <w:tc>
          <w:tcPr>
            <w:tcW w:type="dxa" w:w="2950"/>
            <w:tcMar>
              <w:top w:type="dxa" w:w="100"/>
              <w:left w:type="dxa" w:w="120"/>
              <w:bottom w:type="dxa" w:w="100"/>
              <w:right w:type="dxa" w:w="120"/>
            </w:tcMar>
          </w:tcPr>
          <w:p>
            <w:r>
              <w:rPr>
                <w:b w:val="false"/>
                <w:bCs w:val="false"/>
                <w:sz w:val="20"/>
                <w:szCs w:val="20"/>
              </w:rPr>
              <w:t xml:space="preserve">Enforce Private Dashboard mode as the only approved pattern via governance policy</w:t>
            </w:r>
          </w:p>
        </w:tc>
      </w:tr>
      <w:tr>
        <w:tc>
          <w:tcPr>
            <w:tcW w:type="dxa" w:w="3200"/>
            <w:tcMar>
              <w:top w:type="dxa" w:w="100"/>
              <w:left w:type="dxa" w:w="120"/>
              <w:bottom w:type="dxa" w:w="100"/>
              <w:right w:type="dxa" w:w="120"/>
            </w:tcMar>
          </w:tcPr>
          <w:p>
            <w:r>
              <w:rPr>
                <w:b w:val="false"/>
                <w:bCs w:val="false"/>
                <w:sz w:val="20"/>
                <w:szCs w:val="20"/>
              </w:rPr>
              <w:t xml:space="preserve">SaaS outage (Tableau or Appspace)</w:t>
            </w:r>
          </w:p>
        </w:tc>
        <w:tc>
          <w:tcPr>
            <w:tcW w:type="dxa" w:w="3200"/>
            <w:tcMar>
              <w:top w:type="dxa" w:w="100"/>
              <w:left w:type="dxa" w:w="120"/>
              <w:bottom w:type="dxa" w:w="100"/>
              <w:right w:type="dxa" w:w="120"/>
            </w:tcMar>
          </w:tcPr>
          <w:p>
            <w:r>
              <w:rPr>
                <w:b w:val="false"/>
                <w:bCs w:val="false"/>
                <w:sz w:val="20"/>
                <w:szCs w:val="20"/>
              </w:rPr>
              <w:t xml:space="preserve">Signage displays stale or blank dashboard content</w:t>
            </w:r>
          </w:p>
        </w:tc>
        <w:tc>
          <w:tcPr>
            <w:tcW w:type="dxa" w:w="2950"/>
            <w:tcMar>
              <w:top w:type="dxa" w:w="100"/>
              <w:left w:type="dxa" w:w="120"/>
              <w:bottom w:type="dxa" w:w="100"/>
              <w:right w:type="dxa" w:w="120"/>
            </w:tcMar>
          </w:tcPr>
          <w:p>
            <w:r>
              <w:rPr>
                <w:b w:val="false"/>
                <w:bCs w:val="false"/>
                <w:sz w:val="20"/>
                <w:szCs w:val="20"/>
              </w:rPr>
              <w:t xml:space="preserve">Monitor vendor status pages; define fallback content on devices</w:t>
            </w:r>
          </w:p>
        </w:tc>
      </w:tr>
    </w:tbl>
    <w:p>
      <w:pPr>
        <w:spacing w:after="200"/>
      </w:pPr>
    </w:p>
    <w:p>
      <w:pPr>
        <w:pStyle w:val="Heading1"/>
        <w:spacing w:after="160" w:before="360"/>
      </w:pPr>
      <w:r>
        <w:t xml:space="preserve">13. Architecture Decision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DBE9F6" w:val="clear"/>
            <w:tcMar>
              <w:top w:type="dxa" w:w="100"/>
              <w:left w:type="dxa" w:w="120"/>
              <w:bottom w:type="dxa" w:w="100"/>
              <w:right w:type="dxa" w:w="120"/>
            </w:tcMar>
          </w:tcPr>
          <w:p>
            <w:r>
              <w:rPr>
                <w:b/>
                <w:bCs/>
                <w:sz w:val="20"/>
                <w:szCs w:val="20"/>
              </w:rPr>
              <w:t xml:space="preserve">Decision</w:t>
            </w:r>
          </w:p>
        </w:tc>
        <w:tc>
          <w:tcPr>
            <w:tcW w:type="dxa" w:w="6350"/>
            <w:shd w:fill="DBE9F6" w:val="clear"/>
            <w:tcMar>
              <w:top w:type="dxa" w:w="100"/>
              <w:left w:type="dxa" w:w="120"/>
              <w:bottom w:type="dxa" w:w="100"/>
              <w:right w:type="dxa" w:w="120"/>
            </w:tcMar>
          </w:tcPr>
          <w:p>
            <w:r>
              <w:rPr>
                <w:b/>
                <w:bCs/>
                <w:sz w:val="20"/>
                <w:szCs w:val="20"/>
              </w:rPr>
              <w:t xml:space="preserve">Rationale</w:t>
            </w:r>
          </w:p>
        </w:tc>
      </w:tr>
      <w:tr>
        <w:tc>
          <w:tcPr>
            <w:tcW w:type="dxa" w:w="3000"/>
            <w:tcMar>
              <w:top w:type="dxa" w:w="100"/>
              <w:left w:type="dxa" w:w="120"/>
              <w:bottom w:type="dxa" w:w="100"/>
              <w:right w:type="dxa" w:w="120"/>
            </w:tcMar>
          </w:tcPr>
          <w:p>
            <w:r>
              <w:rPr>
                <w:b w:val="false"/>
                <w:bCs w:val="false"/>
                <w:sz w:val="20"/>
                <w:szCs w:val="20"/>
              </w:rPr>
              <w:t xml:space="preserve">Use Private Dashboard (Direct Trust) mode as the standard pattern</w:t>
            </w:r>
          </w:p>
        </w:tc>
        <w:tc>
          <w:tcPr>
            <w:tcW w:type="dxa" w:w="6350"/>
            <w:tcMar>
              <w:top w:type="dxa" w:w="100"/>
              <w:left w:type="dxa" w:w="120"/>
              <w:bottom w:type="dxa" w:w="100"/>
              <w:right w:type="dxa" w:w="120"/>
            </w:tcMar>
          </w:tcPr>
          <w:p>
            <w:r>
              <w:rPr>
                <w:b w:val="false"/>
                <w:bCs w:val="false"/>
                <w:sz w:val="20"/>
                <w:szCs w:val="20"/>
              </w:rPr>
              <w:t xml:space="preserve">Preserves Tableau governance and avoids exposing enterprise data via unauthenticated public URLs</w:t>
            </w:r>
          </w:p>
        </w:tc>
      </w:tr>
      <w:tr>
        <w:tc>
          <w:tcPr>
            <w:tcW w:type="dxa" w:w="3000"/>
            <w:tcMar>
              <w:top w:type="dxa" w:w="100"/>
              <w:left w:type="dxa" w:w="120"/>
              <w:bottom w:type="dxa" w:w="100"/>
              <w:right w:type="dxa" w:w="120"/>
            </w:tcMar>
          </w:tcPr>
          <w:p>
            <w:r>
              <w:rPr>
                <w:b w:val="false"/>
                <w:bCs w:val="false"/>
                <w:sz w:val="20"/>
                <w:szCs w:val="20"/>
              </w:rPr>
              <w:t xml:space="preserve">No custom middleware / broker service introduced</w:t>
            </w:r>
          </w:p>
        </w:tc>
        <w:tc>
          <w:tcPr>
            <w:tcW w:type="dxa" w:w="6350"/>
            <w:tcMar>
              <w:top w:type="dxa" w:w="100"/>
              <w:left w:type="dxa" w:w="120"/>
              <w:bottom w:type="dxa" w:w="100"/>
              <w:right w:type="dxa" w:w="120"/>
            </w:tcMar>
          </w:tcPr>
          <w:p>
            <w:r>
              <w:rPr>
                <w:b w:val="false"/>
                <w:bCs w:val="false"/>
                <w:sz w:val="20"/>
                <w:szCs w:val="20"/>
              </w:rPr>
              <w:t xml:space="preserve">Both platforms provide native SaaS-to-SaaS trust support, removing the need for a hosted integration layer</w:t>
            </w:r>
          </w:p>
        </w:tc>
      </w:tr>
      <w:tr>
        <w:tc>
          <w:tcPr>
            <w:tcW w:type="dxa" w:w="3000"/>
            <w:tcMar>
              <w:top w:type="dxa" w:w="100"/>
              <w:left w:type="dxa" w:w="120"/>
              <w:bottom w:type="dxa" w:w="100"/>
              <w:right w:type="dxa" w:w="120"/>
            </w:tcMar>
          </w:tcPr>
          <w:p>
            <w:r>
              <w:rPr>
                <w:b w:val="false"/>
                <w:bCs w:val="false"/>
                <w:sz w:val="20"/>
                <w:szCs w:val="20"/>
              </w:rPr>
              <w:t xml:space="preserve">Single shared Passport per environment</w:t>
            </w:r>
          </w:p>
        </w:tc>
        <w:tc>
          <w:tcPr>
            <w:tcW w:type="dxa" w:w="6350"/>
            <w:tcMar>
              <w:top w:type="dxa" w:w="100"/>
              <w:left w:type="dxa" w:w="120"/>
              <w:bottom w:type="dxa" w:w="100"/>
              <w:right w:type="dxa" w:w="120"/>
            </w:tcMar>
          </w:tcPr>
          <w:p>
            <w:r>
              <w:rPr>
                <w:b w:val="false"/>
                <w:bCs w:val="false"/>
                <w:sz w:val="20"/>
                <w:szCs w:val="20"/>
              </w:rPr>
              <w:t xml:space="preserve">Simplifies credential management; reduces duplicate trust configurations across cards</w:t>
            </w:r>
          </w:p>
        </w:tc>
      </w:tr>
    </w:tbl>
    <w:p>
      <w:pPr>
        <w:spacing w:after="200"/>
      </w:pPr>
    </w:p>
    <w:p>
      <w:pPr>
        <w:pStyle w:val="Heading1"/>
        <w:spacing w:after="160" w:before="360"/>
      </w:pPr>
      <w:r>
        <w:t xml:space="preserve">14. References</w:t>
      </w:r>
    </w:p>
    <w:p>
      <w:pPr>
        <w:pStyle w:val="ListParagraph"/>
        <w:numPr>
          <w:ilvl w:val="0"/>
          <w:numId w:val="2"/>
        </w:numPr>
        <w:spacing w:after="80"/>
      </w:pPr>
      <w:r>
        <w:rPr>
          <w:sz w:val="22"/>
          <w:szCs w:val="22"/>
        </w:rPr>
        <w:t xml:space="preserve">Appspace Community – Cards: Display Tableau Dashboard: community.appspace.com/cards-134/cards-display-tableau-dashboard-627</w:t>
      </w:r>
    </w:p>
    <w:p>
      <w:pPr>
        <w:pStyle w:val="ListParagraph"/>
        <w:numPr>
          <w:ilvl w:val="0"/>
          <w:numId w:val="2"/>
        </w:numPr>
        <w:spacing w:after="80"/>
      </w:pPr>
      <w:r>
        <w:rPr>
          <w:sz w:val="22"/>
          <w:szCs w:val="22"/>
        </w:rPr>
        <w:t xml:space="preserve">Tableau Help – Configure Connected Apps with Direct Trust (help.tableau.com)</w:t>
      </w:r>
    </w:p>
    <w:p>
      <w:pPr>
        <w:pStyle w:val="ListParagraph"/>
        <w:numPr>
          <w:ilvl w:val="0"/>
          <w:numId w:val="2"/>
        </w:numPr>
        <w:spacing w:after="80"/>
      </w:pPr>
      <w:r>
        <w:rPr>
          <w:sz w:val="22"/>
          <w:szCs w:val="22"/>
        </w:rPr>
        <w:t xml:space="preserve">Appspace Community – Supported Appspace Cards reference article</w:t>
      </w:r>
    </w:p>
    <w:p>
      <w:pPr>
        <w:pStyle w:val="ListParagraph"/>
        <w:numPr>
          <w:ilvl w:val="0"/>
          <w:numId w:val="2"/>
        </w:numPr>
        <w:spacing w:after="80"/>
      </w:pPr>
      <w:r>
        <w:rPr>
          <w:sz w:val="22"/>
          <w:szCs w:val="22"/>
        </w:rPr>
        <w:t xml:space="preserve">Appspace Community – Tableau Card Release Notes</w:t>
      </w:r>
    </w:p>
    <w:p>
      <w:pPr>
        <w:pStyle w:val="ListParagraph"/>
        <w:numPr>
          <w:ilvl w:val="0"/>
          <w:numId w:val="2"/>
        </w:numPr>
        <w:spacing w:after="80"/>
      </w:pPr>
      <w:r>
        <w:rPr>
          <w:sz w:val="22"/>
          <w:szCs w:val="22"/>
        </w:rPr>
        <w:t xml:space="preserve">Companion document: Tableau – Appspace Enterprise Solution Document (operational/configuration reference)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Solution Architecture Document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Tableau – Appspace | Solution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2cde30c5609c4be163e3588acf9342f8678f30.png"/><Relationship Id="rId10" Type="http://schemas.openxmlformats.org/officeDocument/2006/relationships/image" Target="media/62d95630389cc6cab67d359f216307dd2057e679.png"/><Relationship Id="rId11" Type="http://schemas.openxmlformats.org/officeDocument/2006/relationships/image" Target="media/983c10b6b9cbe4c53b72c9680074f3e39bf26fa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2026-07-21T02:43:12.252Z</dcterms:created>
  <dcterms:modified xsi:type="dcterms:W3CDTF">2026-07-21T02:43:12.252Z</dcterms:modified>
</cp:coreProperties>
</file>

<file path=docProps/custom.xml><?xml version="1.0" encoding="utf-8"?>
<Properties xmlns="http://schemas.openxmlformats.org/officeDocument/2006/custom-properties" xmlns:vt="http://schemas.openxmlformats.org/officeDocument/2006/docPropsVTypes"/>
</file>