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B2545"/>
          <w:sz w:val="48"/>
        </w:rPr>
        <w:t>EMR Cluster Health Monitor</w:t>
      </w:r>
    </w:p>
    <w:p>
      <w:r>
        <w:rPr>
          <w:color w:val="2E74B5"/>
          <w:sz w:val="32"/>
        </w:rPr>
        <w:t>Design and Testing Document</w:t>
      </w:r>
    </w:p>
    <w:p/>
    <w:tbl>
      <w:tblPr>
        <w:tblStyle w:val="TableGrid"/>
        <w:tblW w:type="auto" w:w="0"/>
        <w:tblLayout w:type="fixed"/>
        <w:tblLook w:firstColumn="1" w:firstRow="1" w:lastColumn="0" w:lastRow="0" w:noHBand="0" w:noVBand="1" w:val="04A0"/>
      </w:tblPr>
      <w:tblGrid>
        <w:gridCol w:w="4680"/>
        <w:gridCol w:w="4680"/>
      </w:tblGrid>
      <w:tr>
        <w:tc>
          <w:tcPr>
            <w:tcW w:type="dxa" w:w="2592"/>
            <w:vAlign w:val="center"/>
            <w:tcBorders>
              <w:top w:val="single" w:sz="4" w:space="0" w:color="D1D5DB"/>
              <w:left w:val="single" w:sz="4" w:space="0" w:color="D1D5DB"/>
              <w:bottom w:val="single" w:sz="4" w:space="0" w:color="D1D5DB"/>
              <w:right w:val="single" w:sz="4" w:space="0" w:color="D1D5DB"/>
            </w:tcBorders>
            <w:shd w:fill="F2F4F7"/>
          </w:tcPr>
          <w:p>
            <w:pPr>
              <w:spacing w:after="0"/>
            </w:pPr>
            <w:r>
              <w:rPr>
                <w:rFonts w:ascii="Calibri" w:hAnsi="Calibri"/>
                <w:b/>
                <w:color w:val="475467"/>
                <w:sz w:val="20"/>
              </w:rPr>
              <w:t>Item</w:t>
            </w:r>
          </w:p>
        </w:tc>
        <w:tc>
          <w:tcPr>
            <w:tcW w:type="dxa" w:w="6768"/>
            <w:vAlign w:val="center"/>
            <w:tcBorders>
              <w:top w:val="single" w:sz="4" w:space="0" w:color="D1D5DB"/>
              <w:left w:val="single" w:sz="4" w:space="0" w:color="D1D5DB"/>
              <w:bottom w:val="single" w:sz="4" w:space="0" w:color="D1D5DB"/>
              <w:right w:val="single" w:sz="4" w:space="0" w:color="D1D5DB"/>
            </w:tcBorders>
            <w:shd w:fill="F2F4F7"/>
          </w:tcPr>
          <w:p>
            <w:pPr>
              <w:spacing w:after="0"/>
            </w:pPr>
            <w:r>
              <w:rPr>
                <w:rFonts w:ascii="Calibri" w:hAnsi="Calibri"/>
                <w:b/>
                <w:color w:val="475467"/>
                <w:sz w:val="20"/>
              </w:rPr>
              <w:t>Detail</w:t>
            </w:r>
          </w:p>
        </w:tc>
      </w:tr>
      <w:tr>
        <w:tc>
          <w:tcPr>
            <w:tcW w:type="dxa" w:w="2592"/>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System</w:t>
            </w:r>
          </w:p>
        </w:tc>
        <w:tc>
          <w:tcPr>
            <w:tcW w:type="dxa" w:w="6768"/>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Apache Airflow DAG running on Amazon MWAA</w:t>
            </w:r>
          </w:p>
        </w:tc>
      </w:tr>
      <w:tr>
        <w:tc>
          <w:tcPr>
            <w:tcW w:type="dxa" w:w="2592"/>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DAG ID</w:t>
            </w:r>
          </w:p>
        </w:tc>
        <w:tc>
          <w:tcPr>
            <w:tcW w:type="dxa" w:w="6768"/>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emr_cluster_health_monitor</w:t>
            </w:r>
          </w:p>
        </w:tc>
      </w:tr>
      <w:tr>
        <w:tc>
          <w:tcPr>
            <w:tcW w:type="dxa" w:w="2592"/>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Purpose</w:t>
            </w:r>
          </w:p>
        </w:tc>
        <w:tc>
          <w:tcPr>
            <w:tcW w:type="dxa" w:w="6768"/>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Validate EMR cluster availability and node capacity before downstream business processing.</w:t>
            </w:r>
          </w:p>
        </w:tc>
      </w:tr>
      <w:tr>
        <w:tc>
          <w:tcPr>
            <w:tcW w:type="dxa" w:w="2592"/>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Document Date</w:t>
            </w:r>
          </w:p>
        </w:tc>
        <w:tc>
          <w:tcPr>
            <w:tcW w:type="dxa" w:w="6768"/>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26 Jun 2026</w:t>
            </w:r>
          </w:p>
        </w:tc>
      </w:tr>
      <w:tr>
        <w:tc>
          <w:tcPr>
            <w:tcW w:type="dxa" w:w="2592"/>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Prepared For</w:t>
            </w:r>
          </w:p>
        </w:tc>
        <w:tc>
          <w:tcPr>
            <w:tcW w:type="dxa" w:w="6768"/>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Operations / Support / Platform review</w:t>
            </w:r>
          </w:p>
        </w:tc>
      </w:tr>
      <w:tr>
        <w:tc>
          <w:tcPr>
            <w:tcW w:type="dxa" w:w="2592"/>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DAG File</w:t>
            </w:r>
          </w:p>
        </w:tc>
        <w:tc>
          <w:tcPr>
            <w:tcW w:type="dxa" w:w="6768"/>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emr_cluster_health_monitor_final.py</w:t>
            </w:r>
          </w:p>
        </w:tc>
      </w:tr>
    </w:tbl>
    <w:p/>
    <w:tbl>
      <w:tblPr>
        <w:tblW w:type="auto" w:w="0"/>
        <w:tblLayout w:type="fixed"/>
        <w:tblLook w:firstColumn="1" w:firstRow="1" w:lastColumn="0" w:lastRow="0" w:noHBand="0" w:noVBand="1" w:val="04A0"/>
      </w:tblPr>
      <w:tblGrid>
        <w:gridCol w:w="9360"/>
      </w:tblGrid>
      <w:tr>
        <w:tc>
          <w:tcPr>
            <w:tcW w:type="dxa" w:w="9360"/>
            <w:shd w:fill="E8EEF5"/>
            <w:tcBorders>
              <w:top w:val="single" w:sz="4" w:space="0" w:color="B8C7D9"/>
              <w:left w:val="single" w:sz="4" w:space="0" w:color="B8C7D9"/>
              <w:bottom w:val="single" w:sz="4" w:space="0" w:color="B8C7D9"/>
              <w:right w:val="single" w:sz="4" w:space="0" w:color="B8C7D9"/>
            </w:tcBorders>
          </w:tcPr>
          <w:p>
            <w:pPr>
              <w:spacing w:after="80"/>
            </w:pPr>
            <w:r>
              <w:rPr>
                <w:b/>
                <w:color w:val="1F4D78"/>
                <w:sz w:val="22"/>
              </w:rPr>
              <w:t>Executive summary</w:t>
            </w:r>
          </w:p>
          <w:p>
            <w:pPr>
              <w:spacing w:after="0"/>
            </w:pPr>
            <w:r>
              <w:rPr>
                <w:sz w:val="20"/>
              </w:rPr>
              <w:t>The DAG performs read-only EMR health validation and sends operational notifications. Healthy clusters generate email only. Unhealthy or missing clusters generate email and SNS SMS alerts. The DAG does not start, stop, resize, terminate, create, or update EMR resources.</w:t>
            </w:r>
          </w:p>
        </w:tc>
      </w:tr>
    </w:tbl>
    <w:p/>
    <w:p>
      <w:pPr>
        <w:sectPr>
          <w:footerReference w:type="default" r:id="rId9"/>
          <w:pgSz w:w="12240" w:h="15840"/>
          <w:pgMar w:top="1440" w:right="1440" w:bottom="1440" w:left="1440" w:header="708" w:footer="708" w:gutter="0"/>
          <w:cols w:space="720"/>
          <w:docGrid w:linePitch="360"/>
        </w:sectPr>
      </w:pPr>
    </w:p>
    <w:p>
      <w:pPr>
        <w:pStyle w:val="Heading1"/>
      </w:pPr>
      <w:r>
        <w:t>1. Overview</w:t>
      </w:r>
    </w:p>
    <w:p>
      <w:r>
        <w:t>This document describes the design, operational flow, notification behavior, and testing evidence plan for the EMR Cluster Health Monitor DAG deployed in MWAA.</w:t>
      </w:r>
    </w:p>
    <w:tbl>
      <w:tblPr>
        <w:tblStyle w:val="TableGrid"/>
        <w:tblW w:type="auto" w:w="0"/>
        <w:tblLayout w:type="fixed"/>
        <w:tblLook w:firstColumn="1" w:firstRow="1" w:lastColumn="0" w:lastRow="0" w:noHBand="0" w:noVBand="1" w:val="04A0"/>
      </w:tblPr>
      <w:tblGrid>
        <w:gridCol w:w="4680"/>
        <w:gridCol w:w="4680"/>
      </w:tblGrid>
      <w:tr>
        <w:tc>
          <w:tcPr>
            <w:tcW w:type="dxa" w:w="2592"/>
            <w:vAlign w:val="center"/>
            <w:tcBorders>
              <w:top w:val="single" w:sz="4" w:space="0" w:color="D1D5DB"/>
              <w:left w:val="single" w:sz="4" w:space="0" w:color="D1D5DB"/>
              <w:bottom w:val="single" w:sz="4" w:space="0" w:color="D1D5DB"/>
              <w:right w:val="single" w:sz="4" w:space="0" w:color="D1D5DB"/>
            </w:tcBorders>
            <w:shd w:fill="F2F4F7"/>
          </w:tcPr>
          <w:p>
            <w:pPr>
              <w:spacing w:after="0"/>
            </w:pPr>
            <w:r>
              <w:rPr>
                <w:rFonts w:ascii="Calibri" w:hAnsi="Calibri"/>
                <w:b/>
                <w:color w:val="475467"/>
                <w:sz w:val="20"/>
              </w:rPr>
              <w:t>Item</w:t>
            </w:r>
          </w:p>
        </w:tc>
        <w:tc>
          <w:tcPr>
            <w:tcW w:type="dxa" w:w="6768"/>
            <w:vAlign w:val="center"/>
            <w:tcBorders>
              <w:top w:val="single" w:sz="4" w:space="0" w:color="D1D5DB"/>
              <w:left w:val="single" w:sz="4" w:space="0" w:color="D1D5DB"/>
              <w:bottom w:val="single" w:sz="4" w:space="0" w:color="D1D5DB"/>
              <w:right w:val="single" w:sz="4" w:space="0" w:color="D1D5DB"/>
            </w:tcBorders>
            <w:shd w:fill="F2F4F7"/>
          </w:tcPr>
          <w:p>
            <w:pPr>
              <w:spacing w:after="0"/>
            </w:pPr>
            <w:r>
              <w:rPr>
                <w:rFonts w:ascii="Calibri" w:hAnsi="Calibri"/>
                <w:b/>
                <w:color w:val="475467"/>
                <w:sz w:val="20"/>
              </w:rPr>
              <w:t>Detail</w:t>
            </w:r>
          </w:p>
        </w:tc>
      </w:tr>
      <w:tr>
        <w:tc>
          <w:tcPr>
            <w:tcW w:type="dxa" w:w="2592"/>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AWS Region</w:t>
            </w:r>
          </w:p>
        </w:tc>
        <w:tc>
          <w:tcPr>
            <w:tcW w:type="dxa" w:w="6768"/>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ap-southeast-2</w:t>
            </w:r>
          </w:p>
        </w:tc>
      </w:tr>
      <w:tr>
        <w:tc>
          <w:tcPr>
            <w:tcW w:type="dxa" w:w="2592"/>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Active EMR states checked</w:t>
            </w:r>
          </w:p>
        </w:tc>
        <w:tc>
          <w:tcPr>
            <w:tcW w:type="dxa" w:w="6768"/>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STARTING, BOOTSTRAPPING, RUNNING, WAITING</w:t>
            </w:r>
          </w:p>
        </w:tc>
      </w:tr>
      <w:tr>
        <w:tc>
          <w:tcPr>
            <w:tcW w:type="dxa" w:w="2592"/>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Primary check</w:t>
            </w:r>
          </w:p>
        </w:tc>
        <w:tc>
          <w:tcPr>
            <w:tcW w:type="dxa" w:w="6768"/>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Primary/Master instance group must have one running node.</w:t>
            </w:r>
          </w:p>
        </w:tc>
      </w:tr>
      <w:tr>
        <w:tc>
          <w:tcPr>
            <w:tcW w:type="dxa" w:w="2592"/>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Core check</w:t>
            </w:r>
          </w:p>
        </w:tc>
        <w:tc>
          <w:tcPr>
            <w:tcW w:type="dxa" w:w="6768"/>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Core running node count must be greater than or equal to configured minimum capacity.</w:t>
            </w:r>
          </w:p>
        </w:tc>
      </w:tr>
      <w:tr>
        <w:tc>
          <w:tcPr>
            <w:tcW w:type="dxa" w:w="2592"/>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Task check</w:t>
            </w:r>
          </w:p>
        </w:tc>
        <w:tc>
          <w:tcPr>
            <w:tcW w:type="dxa" w:w="6768"/>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Task running node count must be greater than or equal to configured minimum capacity. If no Task group exists, this check is treated as pass.</w:t>
            </w:r>
          </w:p>
        </w:tc>
      </w:tr>
      <w:tr>
        <w:tc>
          <w:tcPr>
            <w:tcW w:type="dxa" w:w="2592"/>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Notification channels</w:t>
            </w:r>
          </w:p>
        </w:tc>
        <w:tc>
          <w:tcPr>
            <w:tcW w:type="dxa" w:w="6768"/>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Email for all outcomes; SNS SMS only for UNHEALTHY and CLUSTER_NOT_FOUND.</w:t>
            </w:r>
          </w:p>
        </w:tc>
      </w:tr>
    </w:tbl>
    <w:p/>
    <w:p>
      <w:pPr>
        <w:pStyle w:val="Heading1"/>
      </w:pPr>
      <w:r>
        <w:t>2. Scope and Non-Goals</w:t>
      </w:r>
    </w:p>
    <w:p>
      <w:pPr>
        <w:pStyle w:val="ListBullet"/>
      </w:pPr>
      <w:r>
        <w:t>The DAG validates whether the expected EMR cluster exists in an active state.</w:t>
      </w:r>
    </w:p>
    <w:p>
      <w:pPr>
        <w:pStyle w:val="ListBullet"/>
      </w:pPr>
      <w:r>
        <w:t>The DAG reads EMR instance group capacity and evaluates Primary, Core, and Task capacity rules.</w:t>
      </w:r>
    </w:p>
    <w:p>
      <w:pPr>
        <w:pStyle w:val="ListBullet"/>
      </w:pPr>
      <w:r>
        <w:t>The DAG sends notifications based on the health result.</w:t>
      </w:r>
    </w:p>
    <w:p>
      <w:pPr>
        <w:pStyle w:val="ListBullet"/>
      </w:pPr>
      <w:r>
        <w:t>The DAG does not perform remediation or alter EMR infrastructure.</w:t>
      </w:r>
    </w:p>
    <w:p>
      <w:pPr>
        <w:pStyle w:val="ListBullet"/>
      </w:pPr>
      <w:r>
        <w:t>The DAG does not change Jenkins, MWAA configuration, SNS topic configuration, or subscriptions.</w:t>
      </w:r>
    </w:p>
    <w:p>
      <w:pPr>
        <w:pStyle w:val="Heading1"/>
      </w:pPr>
      <w:r>
        <w:t>3. Design Details</w:t>
      </w:r>
    </w:p>
    <w:p>
      <w:pPr>
        <w:pStyle w:val="Heading2"/>
      </w:pPr>
      <w:r>
        <w:t>3.1 Components</w:t>
      </w:r>
    </w:p>
    <w:tbl>
      <w:tblPr>
        <w:tblStyle w:val="TableGrid"/>
        <w:tblW w:type="auto" w:w="0"/>
        <w:tblLayout w:type="fixed"/>
        <w:tblLook w:firstColumn="1" w:firstRow="1" w:lastColumn="0" w:lastRow="0" w:noHBand="0" w:noVBand="1" w:val="04A0"/>
      </w:tblPr>
      <w:tblGrid>
        <w:gridCol w:w="3120"/>
        <w:gridCol w:w="3120"/>
        <w:gridCol w:w="3120"/>
      </w:tblGrid>
      <w:tr>
        <w:tc>
          <w:tcPr>
            <w:tcW w:type="dxa" w:w="2160"/>
            <w:vAlign w:val="center"/>
            <w:tcBorders>
              <w:top w:val="single" w:sz="4" w:space="0" w:color="D1D5DB"/>
              <w:left w:val="single" w:sz="4" w:space="0" w:color="D1D5DB"/>
              <w:bottom w:val="single" w:sz="4" w:space="0" w:color="D1D5DB"/>
              <w:right w:val="single" w:sz="4" w:space="0" w:color="D1D5DB"/>
            </w:tcBorders>
            <w:shd w:fill="F2F4F7"/>
          </w:tcPr>
          <w:p>
            <w:pPr>
              <w:spacing w:after="0"/>
            </w:pPr>
            <w:r>
              <w:rPr>
                <w:rFonts w:ascii="Calibri" w:hAnsi="Calibri"/>
                <w:b/>
                <w:color w:val="475467"/>
                <w:sz w:val="20"/>
              </w:rPr>
              <w:t>Component</w:t>
            </w:r>
          </w:p>
        </w:tc>
        <w:tc>
          <w:tcPr>
            <w:tcW w:type="dxa" w:w="4896"/>
            <w:vAlign w:val="center"/>
            <w:tcBorders>
              <w:top w:val="single" w:sz="4" w:space="0" w:color="D1D5DB"/>
              <w:left w:val="single" w:sz="4" w:space="0" w:color="D1D5DB"/>
              <w:bottom w:val="single" w:sz="4" w:space="0" w:color="D1D5DB"/>
              <w:right w:val="single" w:sz="4" w:space="0" w:color="D1D5DB"/>
            </w:tcBorders>
            <w:shd w:fill="F2F4F7"/>
          </w:tcPr>
          <w:p>
            <w:pPr>
              <w:spacing w:after="0"/>
            </w:pPr>
            <w:r>
              <w:rPr>
                <w:rFonts w:ascii="Calibri" w:hAnsi="Calibri"/>
                <w:b/>
                <w:color w:val="475467"/>
                <w:sz w:val="20"/>
              </w:rPr>
              <w:t>Role</w:t>
            </w:r>
          </w:p>
        </w:tc>
        <w:tc>
          <w:tcPr>
            <w:tcW w:type="dxa" w:w="2304"/>
            <w:vAlign w:val="center"/>
            <w:tcBorders>
              <w:top w:val="single" w:sz="4" w:space="0" w:color="D1D5DB"/>
              <w:left w:val="single" w:sz="4" w:space="0" w:color="D1D5DB"/>
              <w:bottom w:val="single" w:sz="4" w:space="0" w:color="D1D5DB"/>
              <w:right w:val="single" w:sz="4" w:space="0" w:color="D1D5DB"/>
            </w:tcBorders>
            <w:shd w:fill="F2F4F7"/>
          </w:tcPr>
          <w:p>
            <w:pPr>
              <w:spacing w:after="0"/>
            </w:pPr>
            <w:r>
              <w:rPr>
                <w:rFonts w:ascii="Calibri" w:hAnsi="Calibri"/>
                <w:b/>
                <w:color w:val="475467"/>
                <w:sz w:val="20"/>
              </w:rPr>
              <w:t>Side Effect</w:t>
            </w:r>
          </w:p>
        </w:tc>
      </w:tr>
      <w:tr>
        <w:tc>
          <w:tcPr>
            <w:tcW w:type="dxa" w:w="2160"/>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MWAA / Airflow</w:t>
            </w:r>
          </w:p>
        </w:tc>
        <w:tc>
          <w:tcPr>
            <w:tcW w:type="dxa" w:w="4896"/>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Schedules and executes the DAG tasks.</w:t>
            </w:r>
          </w:p>
        </w:tc>
        <w:tc>
          <w:tcPr>
            <w:tcW w:type="dxa" w:w="2304"/>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Writes task logs and XCom metadata.</w:t>
            </w:r>
          </w:p>
        </w:tc>
      </w:tr>
      <w:tr>
        <w:tc>
          <w:tcPr>
            <w:tcW w:type="dxa" w:w="2160"/>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Boto3 EMR client</w:t>
            </w:r>
          </w:p>
        </w:tc>
        <w:tc>
          <w:tcPr>
            <w:tcW w:type="dxa" w:w="4896"/>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Lists clusters, describes cluster, and lists instance groups.</w:t>
            </w:r>
          </w:p>
        </w:tc>
        <w:tc>
          <w:tcPr>
            <w:tcW w:type="dxa" w:w="2304"/>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Read-only AWS API calls.</w:t>
            </w:r>
          </w:p>
        </w:tc>
      </w:tr>
      <w:tr>
        <w:tc>
          <w:tcPr>
            <w:tcW w:type="dxa" w:w="2160"/>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Airflow email utility</w:t>
            </w:r>
          </w:p>
        </w:tc>
        <w:tc>
          <w:tcPr>
            <w:tcW w:type="dxa" w:w="4896"/>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Sends the HTML email notification.</w:t>
            </w:r>
          </w:p>
        </w:tc>
        <w:tc>
          <w:tcPr>
            <w:tcW w:type="dxa" w:w="2304"/>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Sends email through MWAA email configuration.</w:t>
            </w:r>
          </w:p>
        </w:tc>
      </w:tr>
      <w:tr>
        <w:tc>
          <w:tcPr>
            <w:tcW w:type="dxa" w:w="2160"/>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Boto3 SNS client</w:t>
            </w:r>
          </w:p>
        </w:tc>
        <w:tc>
          <w:tcPr>
            <w:tcW w:type="dxa" w:w="4896"/>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Publishes SMS alert to the configured SNS topic.</w:t>
            </w:r>
          </w:p>
        </w:tc>
        <w:tc>
          <w:tcPr>
            <w:tcW w:type="dxa" w:w="2304"/>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Publishes SNS message only for unhealthy or cluster-not-found outcomes.</w:t>
            </w:r>
          </w:p>
        </w:tc>
      </w:tr>
      <w:tr>
        <w:tc>
          <w:tcPr>
            <w:tcW w:type="dxa" w:w="2160"/>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Airflow XCom</w:t>
            </w:r>
          </w:p>
        </w:tc>
        <w:tc>
          <w:tcPr>
            <w:tcW w:type="dxa" w:w="4896"/>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Passes the health result from the health-check task to the notification task.</w:t>
            </w:r>
          </w:p>
        </w:tc>
        <w:tc>
          <w:tcPr>
            <w:tcW w:type="dxa" w:w="2304"/>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Internal Airflow metadata write/read.</w:t>
            </w:r>
          </w:p>
        </w:tc>
      </w:tr>
    </w:tbl>
    <w:p>
      <w:pPr>
        <w:pStyle w:val="Heading2"/>
      </w:pPr>
      <w:r>
        <w:t>3.2 Health Rules</w:t>
      </w:r>
    </w:p>
    <w:p>
      <w:pPr>
        <w:pStyle w:val="ListNumber"/>
      </w:pPr>
      <w:r>
        <w:t>Search active EMR clusters and match the configured cluster name.</w:t>
      </w:r>
    </w:p>
    <w:p>
      <w:pPr>
        <w:pStyle w:val="ListNumber"/>
      </w:pPr>
      <w:r>
        <w:t>If no matching cluster exists, classify the result as CLUSTER_NOT_FOUND.</w:t>
      </w:r>
    </w:p>
    <w:p>
      <w:pPr>
        <w:pStyle w:val="ListNumber"/>
      </w:pPr>
      <w:r>
        <w:t>If the cluster exists, describe the cluster and retrieve its instance groups.</w:t>
      </w:r>
    </w:p>
    <w:p>
      <w:pPr>
        <w:pStyle w:val="ListNumber"/>
      </w:pPr>
      <w:r>
        <w:t>Validate Primary, Core, and Task instance group capacity.</w:t>
      </w:r>
    </w:p>
    <w:p>
      <w:pPr>
        <w:pStyle w:val="ListNumber"/>
      </w:pPr>
      <w:r>
        <w:t>Classify the cluster as HEALTHY only when all required checks pass; otherwise classify it as UNHEALTHY.</w:t>
      </w:r>
    </w:p>
    <w:p>
      <w:pPr>
        <w:pStyle w:val="Heading2"/>
      </w:pPr>
      <w:r>
        <w:t>3.3 AWS Service Impact</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2448"/>
            <w:vAlign w:val="center"/>
            <w:tcBorders>
              <w:top w:val="single" w:sz="4" w:space="0" w:color="D1D5DB"/>
              <w:left w:val="single" w:sz="4" w:space="0" w:color="D1D5DB"/>
              <w:bottom w:val="single" w:sz="4" w:space="0" w:color="D1D5DB"/>
              <w:right w:val="single" w:sz="4" w:space="0" w:color="D1D5DB"/>
            </w:tcBorders>
            <w:shd w:fill="F2F4F7"/>
          </w:tcPr>
          <w:p>
            <w:pPr>
              <w:spacing w:after="0"/>
            </w:pPr>
            <w:r>
              <w:rPr>
                <w:rFonts w:ascii="Calibri" w:hAnsi="Calibri"/>
                <w:b/>
                <w:color w:val="475467"/>
                <w:sz w:val="20"/>
              </w:rPr>
              <w:t>AWS/API Action</w:t>
            </w:r>
          </w:p>
        </w:tc>
        <w:tc>
          <w:tcPr>
            <w:tcW w:type="dxa" w:w="3888"/>
            <w:vAlign w:val="center"/>
            <w:tcBorders>
              <w:top w:val="single" w:sz="4" w:space="0" w:color="D1D5DB"/>
              <w:left w:val="single" w:sz="4" w:space="0" w:color="D1D5DB"/>
              <w:bottom w:val="single" w:sz="4" w:space="0" w:color="D1D5DB"/>
              <w:right w:val="single" w:sz="4" w:space="0" w:color="D1D5DB"/>
            </w:tcBorders>
            <w:shd w:fill="F2F4F7"/>
          </w:tcPr>
          <w:p>
            <w:pPr>
              <w:spacing w:after="0"/>
            </w:pPr>
            <w:r>
              <w:rPr>
                <w:rFonts w:ascii="Calibri" w:hAnsi="Calibri"/>
                <w:b/>
                <w:color w:val="475467"/>
                <w:sz w:val="20"/>
              </w:rPr>
              <w:t>Purpose</w:t>
            </w:r>
          </w:p>
        </w:tc>
        <w:tc>
          <w:tcPr>
            <w:tcW w:type="dxa" w:w="1584"/>
            <w:vAlign w:val="center"/>
            <w:tcBorders>
              <w:top w:val="single" w:sz="4" w:space="0" w:color="D1D5DB"/>
              <w:left w:val="single" w:sz="4" w:space="0" w:color="D1D5DB"/>
              <w:bottom w:val="single" w:sz="4" w:space="0" w:color="D1D5DB"/>
              <w:right w:val="single" w:sz="4" w:space="0" w:color="D1D5DB"/>
            </w:tcBorders>
            <w:shd w:fill="F2F4F7"/>
          </w:tcPr>
          <w:p>
            <w:pPr>
              <w:spacing w:after="0"/>
            </w:pPr>
            <w:r>
              <w:rPr>
                <w:rFonts w:ascii="Calibri" w:hAnsi="Calibri"/>
                <w:b/>
                <w:color w:val="475467"/>
                <w:sz w:val="20"/>
              </w:rPr>
              <w:t>Read/Write</w:t>
            </w:r>
          </w:p>
        </w:tc>
        <w:tc>
          <w:tcPr>
            <w:tcW w:type="dxa" w:w="1440"/>
            <w:vAlign w:val="center"/>
            <w:tcBorders>
              <w:top w:val="single" w:sz="4" w:space="0" w:color="D1D5DB"/>
              <w:left w:val="single" w:sz="4" w:space="0" w:color="D1D5DB"/>
              <w:bottom w:val="single" w:sz="4" w:space="0" w:color="D1D5DB"/>
              <w:right w:val="single" w:sz="4" w:space="0" w:color="D1D5DB"/>
            </w:tcBorders>
            <w:shd w:fill="F2F4F7"/>
          </w:tcPr>
          <w:p>
            <w:pPr>
              <w:spacing w:after="0"/>
            </w:pPr>
            <w:r>
              <w:rPr>
                <w:rFonts w:ascii="Calibri" w:hAnsi="Calibri"/>
                <w:b/>
                <w:color w:val="475467"/>
                <w:sz w:val="20"/>
              </w:rPr>
              <w:t>Resource Change</w:t>
            </w:r>
          </w:p>
        </w:tc>
      </w:tr>
      <w:tr>
        <w:tc>
          <w:tcPr>
            <w:tcW w:type="dxa" w:w="2448"/>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emr:list_clusters</w:t>
            </w:r>
          </w:p>
        </w:tc>
        <w:tc>
          <w:tcPr>
            <w:tcW w:type="dxa" w:w="3888"/>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Find active clusters in configured states.</w:t>
            </w:r>
          </w:p>
        </w:tc>
        <w:tc>
          <w:tcPr>
            <w:tcW w:type="dxa" w:w="1584"/>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Read</w:t>
            </w:r>
          </w:p>
        </w:tc>
        <w:tc>
          <w:tcPr>
            <w:tcW w:type="dxa" w:w="1440"/>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No</w:t>
            </w:r>
          </w:p>
        </w:tc>
      </w:tr>
      <w:tr>
        <w:tc>
          <w:tcPr>
            <w:tcW w:type="dxa" w:w="2448"/>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emr:describe_cluster</w:t>
            </w:r>
          </w:p>
        </w:tc>
        <w:tc>
          <w:tcPr>
            <w:tcW w:type="dxa" w:w="3888"/>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Read state and metadata for the matched cluster.</w:t>
            </w:r>
          </w:p>
        </w:tc>
        <w:tc>
          <w:tcPr>
            <w:tcW w:type="dxa" w:w="1584"/>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Read</w:t>
            </w:r>
          </w:p>
        </w:tc>
        <w:tc>
          <w:tcPr>
            <w:tcW w:type="dxa" w:w="1440"/>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No</w:t>
            </w:r>
          </w:p>
        </w:tc>
      </w:tr>
      <w:tr>
        <w:tc>
          <w:tcPr>
            <w:tcW w:type="dxa" w:w="2448"/>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emr:list_instance_groups</w:t>
            </w:r>
          </w:p>
        </w:tc>
        <w:tc>
          <w:tcPr>
            <w:tcW w:type="dxa" w:w="3888"/>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Read running and configured instance group capacity.</w:t>
            </w:r>
          </w:p>
        </w:tc>
        <w:tc>
          <w:tcPr>
            <w:tcW w:type="dxa" w:w="1584"/>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Read</w:t>
            </w:r>
          </w:p>
        </w:tc>
        <w:tc>
          <w:tcPr>
            <w:tcW w:type="dxa" w:w="1440"/>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No</w:t>
            </w:r>
          </w:p>
        </w:tc>
      </w:tr>
      <w:tr>
        <w:tc>
          <w:tcPr>
            <w:tcW w:type="dxa" w:w="2448"/>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sns:publish</w:t>
            </w:r>
          </w:p>
        </w:tc>
        <w:tc>
          <w:tcPr>
            <w:tcW w:type="dxa" w:w="3888"/>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Send SMS alert for unhealthy or missing cluster.</w:t>
            </w:r>
          </w:p>
        </w:tc>
        <w:tc>
          <w:tcPr>
            <w:tcW w:type="dxa" w:w="1584"/>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Write notification</w:t>
            </w:r>
          </w:p>
        </w:tc>
        <w:tc>
          <w:tcPr>
            <w:tcW w:type="dxa" w:w="1440"/>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No infrastructure change</w:t>
            </w:r>
          </w:p>
        </w:tc>
      </w:tr>
      <w:tr>
        <w:tc>
          <w:tcPr>
            <w:tcW w:type="dxa" w:w="2448"/>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Airflow send_email</w:t>
            </w:r>
          </w:p>
        </w:tc>
        <w:tc>
          <w:tcPr>
            <w:tcW w:type="dxa" w:w="3888"/>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Send HTML email report.</w:t>
            </w:r>
          </w:p>
        </w:tc>
        <w:tc>
          <w:tcPr>
            <w:tcW w:type="dxa" w:w="1584"/>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Notification</w:t>
            </w:r>
          </w:p>
        </w:tc>
        <w:tc>
          <w:tcPr>
            <w:tcW w:type="dxa" w:w="1440"/>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No AWS infrastructure change</w:t>
            </w:r>
          </w:p>
        </w:tc>
      </w:tr>
    </w:tbl>
    <w:p>
      <w:pPr>
        <w:pStyle w:val="Heading1"/>
      </w:pPr>
      <w:r>
        <w:t>4. Process Flow</w:t>
      </w:r>
    </w:p>
    <w:p>
      <w:r>
        <w:t>The DAG uses two Airflow tasks: the first task checks EMR health and pushes a structured result to XCom; the second task reads that result and sends notifications.</w:t>
      </w:r>
    </w:p>
    <w:p>
      <w:pPr>
        <w:jc w:val="center"/>
      </w:pPr>
      <w:r>
        <w:drawing>
          <wp:inline xmlns:a="http://schemas.openxmlformats.org/drawingml/2006/main" xmlns:pic="http://schemas.openxmlformats.org/drawingml/2006/picture">
            <wp:extent cx="5943600" cy="3640455"/>
            <wp:docPr id="1" name="Picture 1"/>
            <wp:cNvGraphicFramePr>
              <a:graphicFrameLocks noChangeAspect="1"/>
            </wp:cNvGraphicFramePr>
            <a:graphic>
              <a:graphicData uri="http://schemas.openxmlformats.org/drawingml/2006/picture">
                <pic:pic>
                  <pic:nvPicPr>
                    <pic:cNvPr id="0" name="emr_health_monitor_flow.png"/>
                    <pic:cNvPicPr/>
                  </pic:nvPicPr>
                  <pic:blipFill>
                    <a:blip r:embed="rId10"/>
                    <a:stretch>
                      <a:fillRect/>
                    </a:stretch>
                  </pic:blipFill>
                  <pic:spPr>
                    <a:xfrm>
                      <a:off x="0" y="0"/>
                      <a:ext cx="5943600" cy="3640455"/>
                    </a:xfrm>
                    <a:prstGeom prst="rect"/>
                  </pic:spPr>
                </pic:pic>
              </a:graphicData>
            </a:graphic>
          </wp:inline>
        </w:drawing>
      </w:r>
    </w:p>
    <w:tbl>
      <w:tblPr>
        <w:tblW w:type="auto" w:w="0"/>
        <w:tblLayout w:type="fixed"/>
        <w:tblLook w:firstColumn="1" w:firstRow="1" w:lastColumn="0" w:lastRow="0" w:noHBand="0" w:noVBand="1" w:val="04A0"/>
      </w:tblPr>
      <w:tblGrid>
        <w:gridCol w:w="9360"/>
      </w:tblGrid>
      <w:tr>
        <w:tc>
          <w:tcPr>
            <w:tcW w:type="dxa" w:w="9360"/>
            <w:shd w:fill="EAF7EF"/>
            <w:tcBorders>
              <w:top w:val="single" w:sz="4" w:space="0" w:color="B8C7D9"/>
              <w:left w:val="single" w:sz="4" w:space="0" w:color="B8C7D9"/>
              <w:bottom w:val="single" w:sz="4" w:space="0" w:color="B8C7D9"/>
              <w:right w:val="single" w:sz="4" w:space="0" w:color="B8C7D9"/>
            </w:tcBorders>
          </w:tcPr>
          <w:p>
            <w:pPr>
              <w:spacing w:after="80"/>
            </w:pPr>
            <w:r>
              <w:rPr>
                <w:b/>
                <w:color w:val="1F4D78"/>
                <w:sz w:val="22"/>
              </w:rPr>
              <w:t>Notification decision</w:t>
            </w:r>
          </w:p>
          <w:p>
            <w:pPr>
              <w:spacing w:after="0"/>
            </w:pPr>
            <w:r>
              <w:rPr>
                <w:sz w:val="20"/>
              </w:rPr>
              <w:t>HEALTHY sends email only and logs SMS as skipped. UNHEALTHY and CLUSTER_NOT_FOUND send email and SNS SMS.</w:t>
            </w:r>
          </w:p>
        </w:tc>
      </w:tr>
    </w:tbl>
    <w:p/>
    <w:p>
      <w:pPr>
        <w:pStyle w:val="Heading1"/>
      </w:pPr>
      <w:r>
        <w:t>5. Notification Design</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2304"/>
            <w:vAlign w:val="center"/>
            <w:tcBorders>
              <w:top w:val="single" w:sz="4" w:space="0" w:color="D1D5DB"/>
              <w:left w:val="single" w:sz="4" w:space="0" w:color="D1D5DB"/>
              <w:bottom w:val="single" w:sz="4" w:space="0" w:color="D1D5DB"/>
              <w:right w:val="single" w:sz="4" w:space="0" w:color="D1D5DB"/>
            </w:tcBorders>
            <w:shd w:fill="F2F4F7"/>
          </w:tcPr>
          <w:p>
            <w:pPr>
              <w:spacing w:after="0"/>
            </w:pPr>
            <w:r>
              <w:rPr>
                <w:rFonts w:ascii="Calibri" w:hAnsi="Calibri"/>
                <w:b/>
                <w:color w:val="475467"/>
                <w:sz w:val="20"/>
              </w:rPr>
              <w:t>Scenario</w:t>
            </w:r>
          </w:p>
        </w:tc>
        <w:tc>
          <w:tcPr>
            <w:tcW w:type="dxa" w:w="1440"/>
            <w:vAlign w:val="center"/>
            <w:tcBorders>
              <w:top w:val="single" w:sz="4" w:space="0" w:color="D1D5DB"/>
              <w:left w:val="single" w:sz="4" w:space="0" w:color="D1D5DB"/>
              <w:bottom w:val="single" w:sz="4" w:space="0" w:color="D1D5DB"/>
              <w:right w:val="single" w:sz="4" w:space="0" w:color="D1D5DB"/>
            </w:tcBorders>
            <w:shd w:fill="F2F4F7"/>
          </w:tcPr>
          <w:p>
            <w:pPr>
              <w:spacing w:after="0"/>
            </w:pPr>
            <w:r>
              <w:rPr>
                <w:rFonts w:ascii="Calibri" w:hAnsi="Calibri"/>
                <w:b/>
                <w:color w:val="475467"/>
                <w:sz w:val="20"/>
              </w:rPr>
              <w:t>Email</w:t>
            </w:r>
          </w:p>
        </w:tc>
        <w:tc>
          <w:tcPr>
            <w:tcW w:type="dxa" w:w="1440"/>
            <w:vAlign w:val="center"/>
            <w:tcBorders>
              <w:top w:val="single" w:sz="4" w:space="0" w:color="D1D5DB"/>
              <w:left w:val="single" w:sz="4" w:space="0" w:color="D1D5DB"/>
              <w:bottom w:val="single" w:sz="4" w:space="0" w:color="D1D5DB"/>
              <w:right w:val="single" w:sz="4" w:space="0" w:color="D1D5DB"/>
            </w:tcBorders>
            <w:shd w:fill="F2F4F7"/>
          </w:tcPr>
          <w:p>
            <w:pPr>
              <w:spacing w:after="0"/>
            </w:pPr>
            <w:r>
              <w:rPr>
                <w:rFonts w:ascii="Calibri" w:hAnsi="Calibri"/>
                <w:b/>
                <w:color w:val="475467"/>
                <w:sz w:val="20"/>
              </w:rPr>
              <w:t>SNS SMS</w:t>
            </w:r>
          </w:p>
        </w:tc>
        <w:tc>
          <w:tcPr>
            <w:tcW w:type="dxa" w:w="4176"/>
            <w:vAlign w:val="center"/>
            <w:tcBorders>
              <w:top w:val="single" w:sz="4" w:space="0" w:color="D1D5DB"/>
              <w:left w:val="single" w:sz="4" w:space="0" w:color="D1D5DB"/>
              <w:bottom w:val="single" w:sz="4" w:space="0" w:color="D1D5DB"/>
              <w:right w:val="single" w:sz="4" w:space="0" w:color="D1D5DB"/>
            </w:tcBorders>
            <w:shd w:fill="F2F4F7"/>
          </w:tcPr>
          <w:p>
            <w:pPr>
              <w:spacing w:after="0"/>
            </w:pPr>
            <w:r>
              <w:rPr>
                <w:rFonts w:ascii="Calibri" w:hAnsi="Calibri"/>
                <w:b/>
                <w:color w:val="475467"/>
                <w:sz w:val="20"/>
              </w:rPr>
              <w:t>Subject / Heading Pattern</w:t>
            </w:r>
          </w:p>
        </w:tc>
      </w:tr>
      <w:tr>
        <w:tc>
          <w:tcPr>
            <w:tcW w:type="dxa" w:w="2304"/>
            <w:shd w:fill="EAF7EF"/>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HEALTHY</w:t>
            </w:r>
          </w:p>
        </w:tc>
        <w:tc>
          <w:tcPr>
            <w:tcW w:type="dxa" w:w="1440"/>
            <w:shd w:fill="EAF7EF"/>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Sent</w:t>
            </w:r>
          </w:p>
        </w:tc>
        <w:tc>
          <w:tcPr>
            <w:tcW w:type="dxa" w:w="1440"/>
            <w:shd w:fill="EAF7EF"/>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Skipped</w:t>
            </w:r>
          </w:p>
        </w:tc>
        <w:tc>
          <w:tcPr>
            <w:tcW w:type="dxa" w:w="4176"/>
            <w:shd w:fill="EAF7EF"/>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EMR &lt;cluster-name&gt; Health Report - Healthy</w:t>
            </w:r>
          </w:p>
        </w:tc>
      </w:tr>
      <w:tr>
        <w:tc>
          <w:tcPr>
            <w:tcW w:type="dxa" w:w="2304"/>
            <w:shd w:fill="FDECEC"/>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UNHEALTHY</w:t>
            </w:r>
          </w:p>
        </w:tc>
        <w:tc>
          <w:tcPr>
            <w:tcW w:type="dxa" w:w="1440"/>
            <w:shd w:fill="FDECEC"/>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Sent</w:t>
            </w:r>
          </w:p>
        </w:tc>
        <w:tc>
          <w:tcPr>
            <w:tcW w:type="dxa" w:w="1440"/>
            <w:shd w:fill="FDECEC"/>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Sent</w:t>
            </w:r>
          </w:p>
        </w:tc>
        <w:tc>
          <w:tcPr>
            <w:tcW w:type="dxa" w:w="4176"/>
            <w:shd w:fill="FDECEC"/>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EMR &lt;cluster-name&gt; Health Report - Unhealthy</w:t>
            </w:r>
          </w:p>
        </w:tc>
      </w:tr>
      <w:tr>
        <w:tc>
          <w:tcPr>
            <w:tcW w:type="dxa" w:w="2304"/>
            <w:shd w:fill="FDECEC"/>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CLUSTER_NOT_FOUND</w:t>
            </w:r>
          </w:p>
        </w:tc>
        <w:tc>
          <w:tcPr>
            <w:tcW w:type="dxa" w:w="1440"/>
            <w:shd w:fill="FDECEC"/>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Sent</w:t>
            </w:r>
          </w:p>
        </w:tc>
        <w:tc>
          <w:tcPr>
            <w:tcW w:type="dxa" w:w="1440"/>
            <w:shd w:fill="FDECEC"/>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Sent</w:t>
            </w:r>
          </w:p>
        </w:tc>
        <w:tc>
          <w:tcPr>
            <w:tcW w:type="dxa" w:w="4176"/>
            <w:shd w:fill="FDECEC"/>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EMR &lt;cluster-name&gt; Health Report - Cluster Not Found</w:t>
            </w:r>
          </w:p>
        </w:tc>
      </w:tr>
    </w:tbl>
    <w:p>
      <w:r>
        <w:t>The email template is table-based with inline styles and solid colors to support both classic Outlook and new Outlook. It includes Cluster Information, Node Capacity where applicable, Health Check Results, quiet Notes for failures, and the standard automated MWAA footer comment.</w:t>
      </w:r>
    </w:p>
    <w:p>
      <w:pPr>
        <w:pStyle w:val="Heading1"/>
      </w:pPr>
      <w:r>
        <w:t>6. Testing Approach</w:t>
      </w:r>
    </w:p>
    <w:p>
      <w:r>
        <w:t>Testing validates both the health classification logic and the notification behavior visible to support teams. Evidence emails or screenshots should be attached under each scenario after execution.</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c>
          <w:tcPr>
            <w:tcW w:type="dxa" w:w="936"/>
            <w:vAlign w:val="center"/>
            <w:tcBorders>
              <w:top w:val="single" w:sz="4" w:space="0" w:color="D1D5DB"/>
              <w:left w:val="single" w:sz="4" w:space="0" w:color="D1D5DB"/>
              <w:bottom w:val="single" w:sz="4" w:space="0" w:color="D1D5DB"/>
              <w:right w:val="single" w:sz="4" w:space="0" w:color="D1D5DB"/>
            </w:tcBorders>
            <w:shd w:fill="F2F4F7"/>
          </w:tcPr>
          <w:p>
            <w:pPr>
              <w:spacing w:after="0"/>
            </w:pPr>
            <w:r>
              <w:rPr>
                <w:rFonts w:ascii="Calibri" w:hAnsi="Calibri"/>
                <w:b/>
                <w:color w:val="475467"/>
                <w:sz w:val="20"/>
              </w:rPr>
              <w:t>Test ID</w:t>
            </w:r>
          </w:p>
        </w:tc>
        <w:tc>
          <w:tcPr>
            <w:tcW w:type="dxa" w:w="1656"/>
            <w:vAlign w:val="center"/>
            <w:tcBorders>
              <w:top w:val="single" w:sz="4" w:space="0" w:color="D1D5DB"/>
              <w:left w:val="single" w:sz="4" w:space="0" w:color="D1D5DB"/>
              <w:bottom w:val="single" w:sz="4" w:space="0" w:color="D1D5DB"/>
              <w:right w:val="single" w:sz="4" w:space="0" w:color="D1D5DB"/>
            </w:tcBorders>
            <w:shd w:fill="F2F4F7"/>
          </w:tcPr>
          <w:p>
            <w:pPr>
              <w:spacing w:after="0"/>
            </w:pPr>
            <w:r>
              <w:rPr>
                <w:rFonts w:ascii="Calibri" w:hAnsi="Calibri"/>
                <w:b/>
                <w:color w:val="475467"/>
                <w:sz w:val="20"/>
              </w:rPr>
              <w:t>Scenario</w:t>
            </w:r>
          </w:p>
        </w:tc>
        <w:tc>
          <w:tcPr>
            <w:tcW w:type="dxa" w:w="2376"/>
            <w:vAlign w:val="center"/>
            <w:tcBorders>
              <w:top w:val="single" w:sz="4" w:space="0" w:color="D1D5DB"/>
              <w:left w:val="single" w:sz="4" w:space="0" w:color="D1D5DB"/>
              <w:bottom w:val="single" w:sz="4" w:space="0" w:color="D1D5DB"/>
              <w:right w:val="single" w:sz="4" w:space="0" w:color="D1D5DB"/>
            </w:tcBorders>
            <w:shd w:fill="F2F4F7"/>
          </w:tcPr>
          <w:p>
            <w:pPr>
              <w:spacing w:after="0"/>
            </w:pPr>
            <w:r>
              <w:rPr>
                <w:rFonts w:ascii="Calibri" w:hAnsi="Calibri"/>
                <w:b/>
                <w:color w:val="475467"/>
                <w:sz w:val="20"/>
              </w:rPr>
              <w:t>Precondition</w:t>
            </w:r>
          </w:p>
        </w:tc>
        <w:tc>
          <w:tcPr>
            <w:tcW w:type="dxa" w:w="2664"/>
            <w:vAlign w:val="center"/>
            <w:tcBorders>
              <w:top w:val="single" w:sz="4" w:space="0" w:color="D1D5DB"/>
              <w:left w:val="single" w:sz="4" w:space="0" w:color="D1D5DB"/>
              <w:bottom w:val="single" w:sz="4" w:space="0" w:color="D1D5DB"/>
              <w:right w:val="single" w:sz="4" w:space="0" w:color="D1D5DB"/>
            </w:tcBorders>
            <w:shd w:fill="F2F4F7"/>
          </w:tcPr>
          <w:p>
            <w:pPr>
              <w:spacing w:after="0"/>
            </w:pPr>
            <w:r>
              <w:rPr>
                <w:rFonts w:ascii="Calibri" w:hAnsi="Calibri"/>
                <w:b/>
                <w:color w:val="475467"/>
                <w:sz w:val="20"/>
              </w:rPr>
              <w:t>Expected Result</w:t>
            </w:r>
          </w:p>
        </w:tc>
        <w:tc>
          <w:tcPr>
            <w:tcW w:type="dxa" w:w="1728"/>
            <w:vAlign w:val="center"/>
            <w:tcBorders>
              <w:top w:val="single" w:sz="4" w:space="0" w:color="D1D5DB"/>
              <w:left w:val="single" w:sz="4" w:space="0" w:color="D1D5DB"/>
              <w:bottom w:val="single" w:sz="4" w:space="0" w:color="D1D5DB"/>
              <w:right w:val="single" w:sz="4" w:space="0" w:color="D1D5DB"/>
            </w:tcBorders>
            <w:shd w:fill="F2F4F7"/>
          </w:tcPr>
          <w:p>
            <w:pPr>
              <w:spacing w:after="0"/>
            </w:pPr>
            <w:r>
              <w:rPr>
                <w:rFonts w:ascii="Calibri" w:hAnsi="Calibri"/>
                <w:b/>
                <w:color w:val="475467"/>
                <w:sz w:val="20"/>
              </w:rPr>
              <w:t>Evidence Placeholder</w:t>
            </w:r>
          </w:p>
        </w:tc>
      </w:tr>
      <w:tr>
        <w:tc>
          <w:tcPr>
            <w:tcW w:type="dxa" w:w="936"/>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TC-01</w:t>
            </w:r>
          </w:p>
        </w:tc>
        <w:tc>
          <w:tcPr>
            <w:tcW w:type="dxa" w:w="1656"/>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Healthy EMR</w:t>
            </w:r>
          </w:p>
        </w:tc>
        <w:tc>
          <w:tcPr>
            <w:tcW w:type="dxa" w:w="2376"/>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Matching active cluster exists; Primary is running; Core and Task running counts meet minimum capacity.</w:t>
            </w:r>
          </w:p>
        </w:tc>
        <w:tc>
          <w:tcPr>
            <w:tcW w:type="dxa" w:w="2664"/>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DAG succeeds. Email is sent. SNS SMS is skipped and notification summary shows SMS Sent = False.</w:t>
            </w:r>
          </w:p>
        </w:tc>
        <w:tc>
          <w:tcPr>
            <w:tcW w:type="dxa" w:w="1728"/>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Attach healthy email evidence here.</w:t>
            </w:r>
          </w:p>
        </w:tc>
      </w:tr>
      <w:tr>
        <w:tc>
          <w:tcPr>
            <w:tcW w:type="dxa" w:w="936"/>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TC-02</w:t>
            </w:r>
          </w:p>
        </w:tc>
        <w:tc>
          <w:tcPr>
            <w:tcW w:type="dxa" w:w="1656"/>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Unhealthy EMR</w:t>
            </w:r>
          </w:p>
        </w:tc>
        <w:tc>
          <w:tcPr>
            <w:tcW w:type="dxa" w:w="2376"/>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Matching active cluster exists, but Core or Task running count is below configured minimum capacity.</w:t>
            </w:r>
          </w:p>
        </w:tc>
        <w:tc>
          <w:tcPr>
            <w:tcW w:type="dxa" w:w="2664"/>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DAG succeeds if at least one notification channel succeeds. Email is sent. SNS SMS is sent.</w:t>
            </w:r>
          </w:p>
        </w:tc>
        <w:tc>
          <w:tcPr>
            <w:tcW w:type="dxa" w:w="1728"/>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Attach unhealthy email and/or SMS evidence here.</w:t>
            </w:r>
          </w:p>
        </w:tc>
      </w:tr>
      <w:tr>
        <w:tc>
          <w:tcPr>
            <w:tcW w:type="dxa" w:w="936"/>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TC-03</w:t>
            </w:r>
          </w:p>
        </w:tc>
        <w:tc>
          <w:tcPr>
            <w:tcW w:type="dxa" w:w="1656"/>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Cluster Not Found</w:t>
            </w:r>
          </w:p>
        </w:tc>
        <w:tc>
          <w:tcPr>
            <w:tcW w:type="dxa" w:w="2376"/>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No active EMR cluster exists with the configured cluster name.</w:t>
            </w:r>
          </w:p>
        </w:tc>
        <w:tc>
          <w:tcPr>
            <w:tcW w:type="dxa" w:w="2664"/>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DAG succeeds if at least one notification channel succeeds. Email is sent. SNS SMS is sent.</w:t>
            </w:r>
          </w:p>
        </w:tc>
        <w:tc>
          <w:tcPr>
            <w:tcW w:type="dxa" w:w="1728"/>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Attach cluster-not-found email and/or SMS evidence here.</w:t>
            </w:r>
          </w:p>
        </w:tc>
      </w:tr>
    </w:tbl>
    <w:p>
      <w:pPr>
        <w:pStyle w:val="Heading2"/>
      </w:pPr>
      <w:r>
        <w:t>6.1 Evidence Sections</w:t>
      </w:r>
    </w:p>
    <w:p>
      <w:pPr>
        <w:pStyle w:val="Heading3"/>
      </w:pPr>
      <w:r>
        <w:t>TC-01 Healthy EMR Evidence</w:t>
      </w:r>
    </w:p>
    <w:tbl>
      <w:tblPr>
        <w:tblStyle w:val="TableGrid"/>
        <w:tblW w:type="auto" w:w="0"/>
        <w:tblLayout w:type="fixed"/>
        <w:tblLook w:firstColumn="1" w:firstRow="1" w:lastColumn="0" w:lastRow="0" w:noHBand="0" w:noVBand="1" w:val="04A0"/>
      </w:tblPr>
      <w:tblGrid>
        <w:gridCol w:w="4680"/>
        <w:gridCol w:w="4680"/>
      </w:tblGrid>
      <w:tr>
        <w:tc>
          <w:tcPr>
            <w:tcW w:type="dxa" w:w="2592"/>
            <w:vAlign w:val="center"/>
            <w:tcBorders>
              <w:top w:val="single" w:sz="4" w:space="0" w:color="D1D5DB"/>
              <w:left w:val="single" w:sz="4" w:space="0" w:color="D1D5DB"/>
              <w:bottom w:val="single" w:sz="4" w:space="0" w:color="D1D5DB"/>
              <w:right w:val="single" w:sz="4" w:space="0" w:color="D1D5DB"/>
            </w:tcBorders>
            <w:shd w:fill="F2F4F7"/>
          </w:tcPr>
          <w:p>
            <w:pPr>
              <w:spacing w:after="0"/>
            </w:pPr>
            <w:r>
              <w:rPr>
                <w:rFonts w:ascii="Calibri" w:hAnsi="Calibri"/>
                <w:b/>
                <w:color w:val="475467"/>
                <w:sz w:val="20"/>
              </w:rPr>
              <w:t>Execution Date / Run ID</w:t>
            </w:r>
          </w:p>
        </w:tc>
        <w:tc>
          <w:tcPr>
            <w:tcW w:type="dxa" w:w="6768"/>
            <w:vAlign w:val="center"/>
            <w:tcBorders>
              <w:top w:val="single" w:sz="4" w:space="0" w:color="D1D5DB"/>
              <w:left w:val="single" w:sz="4" w:space="0" w:color="D1D5DB"/>
              <w:bottom w:val="single" w:sz="4" w:space="0" w:color="D1D5DB"/>
              <w:right w:val="single" w:sz="4" w:space="0" w:color="D1D5DB"/>
            </w:tcBorders>
            <w:shd w:fill="F2F4F7"/>
          </w:tcPr>
          <w:p>
            <w:pPr>
              <w:spacing w:after="0"/>
            </w:pPr>
            <w:r>
              <w:rPr>
                <w:rFonts w:ascii="Calibri" w:hAnsi="Calibri"/>
                <w:b/>
                <w:color w:val="475467"/>
                <w:sz w:val="20"/>
              </w:rPr>
              <w:t>To be completed</w:t>
            </w:r>
          </w:p>
        </w:tc>
      </w:tr>
      <w:tr>
        <w:tc>
          <w:tcPr>
            <w:tcW w:type="dxa" w:w="2592"/>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Observed Result</w:t>
            </w:r>
          </w:p>
        </w:tc>
        <w:tc>
          <w:tcPr>
            <w:tcW w:type="dxa" w:w="6768"/>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To be completed</w:t>
            </w:r>
          </w:p>
        </w:tc>
      </w:tr>
      <w:tr>
        <w:tc>
          <w:tcPr>
            <w:tcW w:type="dxa" w:w="2592"/>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Evidence</w:t>
            </w:r>
          </w:p>
        </w:tc>
        <w:tc>
          <w:tcPr>
            <w:tcW w:type="dxa" w:w="6768"/>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Attach email screenshot or paste notification evidence here.</w:t>
            </w:r>
          </w:p>
        </w:tc>
      </w:tr>
    </w:tbl>
    <w:p>
      <w:pPr>
        <w:pStyle w:val="Heading3"/>
      </w:pPr>
      <w:r>
        <w:t>TC-02 Unhealthy EMR Evidence</w:t>
      </w:r>
    </w:p>
    <w:tbl>
      <w:tblPr>
        <w:tblStyle w:val="TableGrid"/>
        <w:tblW w:type="auto" w:w="0"/>
        <w:tblLayout w:type="fixed"/>
        <w:tblLook w:firstColumn="1" w:firstRow="1" w:lastColumn="0" w:lastRow="0" w:noHBand="0" w:noVBand="1" w:val="04A0"/>
      </w:tblPr>
      <w:tblGrid>
        <w:gridCol w:w="4680"/>
        <w:gridCol w:w="4680"/>
      </w:tblGrid>
      <w:tr>
        <w:tc>
          <w:tcPr>
            <w:tcW w:type="dxa" w:w="2592"/>
            <w:vAlign w:val="center"/>
            <w:tcBorders>
              <w:top w:val="single" w:sz="4" w:space="0" w:color="D1D5DB"/>
              <w:left w:val="single" w:sz="4" w:space="0" w:color="D1D5DB"/>
              <w:bottom w:val="single" w:sz="4" w:space="0" w:color="D1D5DB"/>
              <w:right w:val="single" w:sz="4" w:space="0" w:color="D1D5DB"/>
            </w:tcBorders>
            <w:shd w:fill="F2F4F7"/>
          </w:tcPr>
          <w:p>
            <w:pPr>
              <w:spacing w:after="0"/>
            </w:pPr>
            <w:r>
              <w:rPr>
                <w:rFonts w:ascii="Calibri" w:hAnsi="Calibri"/>
                <w:b/>
                <w:color w:val="475467"/>
                <w:sz w:val="20"/>
              </w:rPr>
              <w:t>Execution Date / Run ID</w:t>
            </w:r>
          </w:p>
        </w:tc>
        <w:tc>
          <w:tcPr>
            <w:tcW w:type="dxa" w:w="6768"/>
            <w:vAlign w:val="center"/>
            <w:tcBorders>
              <w:top w:val="single" w:sz="4" w:space="0" w:color="D1D5DB"/>
              <w:left w:val="single" w:sz="4" w:space="0" w:color="D1D5DB"/>
              <w:bottom w:val="single" w:sz="4" w:space="0" w:color="D1D5DB"/>
              <w:right w:val="single" w:sz="4" w:space="0" w:color="D1D5DB"/>
            </w:tcBorders>
            <w:shd w:fill="F2F4F7"/>
          </w:tcPr>
          <w:p>
            <w:pPr>
              <w:spacing w:after="0"/>
            </w:pPr>
            <w:r>
              <w:rPr>
                <w:rFonts w:ascii="Calibri" w:hAnsi="Calibri"/>
                <w:b/>
                <w:color w:val="475467"/>
                <w:sz w:val="20"/>
              </w:rPr>
              <w:t>To be completed</w:t>
            </w:r>
          </w:p>
        </w:tc>
      </w:tr>
      <w:tr>
        <w:tc>
          <w:tcPr>
            <w:tcW w:type="dxa" w:w="2592"/>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Observed Result</w:t>
            </w:r>
          </w:p>
        </w:tc>
        <w:tc>
          <w:tcPr>
            <w:tcW w:type="dxa" w:w="6768"/>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To be completed</w:t>
            </w:r>
          </w:p>
        </w:tc>
      </w:tr>
      <w:tr>
        <w:tc>
          <w:tcPr>
            <w:tcW w:type="dxa" w:w="2592"/>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Evidence</w:t>
            </w:r>
          </w:p>
        </w:tc>
        <w:tc>
          <w:tcPr>
            <w:tcW w:type="dxa" w:w="6768"/>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Attach email screenshot or paste notification evidence here.</w:t>
            </w:r>
          </w:p>
        </w:tc>
      </w:tr>
    </w:tbl>
    <w:p>
      <w:pPr>
        <w:pStyle w:val="Heading3"/>
      </w:pPr>
      <w:r>
        <w:t>TC-03 Cluster Not Found Evidence</w:t>
      </w:r>
    </w:p>
    <w:tbl>
      <w:tblPr>
        <w:tblStyle w:val="TableGrid"/>
        <w:tblW w:type="auto" w:w="0"/>
        <w:tblLayout w:type="fixed"/>
        <w:tblLook w:firstColumn="1" w:firstRow="1" w:lastColumn="0" w:lastRow="0" w:noHBand="0" w:noVBand="1" w:val="04A0"/>
      </w:tblPr>
      <w:tblGrid>
        <w:gridCol w:w="4680"/>
        <w:gridCol w:w="4680"/>
      </w:tblGrid>
      <w:tr>
        <w:tc>
          <w:tcPr>
            <w:tcW w:type="dxa" w:w="2592"/>
            <w:vAlign w:val="center"/>
            <w:tcBorders>
              <w:top w:val="single" w:sz="4" w:space="0" w:color="D1D5DB"/>
              <w:left w:val="single" w:sz="4" w:space="0" w:color="D1D5DB"/>
              <w:bottom w:val="single" w:sz="4" w:space="0" w:color="D1D5DB"/>
              <w:right w:val="single" w:sz="4" w:space="0" w:color="D1D5DB"/>
            </w:tcBorders>
            <w:shd w:fill="F2F4F7"/>
          </w:tcPr>
          <w:p>
            <w:pPr>
              <w:spacing w:after="0"/>
            </w:pPr>
            <w:r>
              <w:rPr>
                <w:rFonts w:ascii="Calibri" w:hAnsi="Calibri"/>
                <w:b/>
                <w:color w:val="475467"/>
                <w:sz w:val="20"/>
              </w:rPr>
              <w:t>Execution Date / Run ID</w:t>
            </w:r>
          </w:p>
        </w:tc>
        <w:tc>
          <w:tcPr>
            <w:tcW w:type="dxa" w:w="6768"/>
            <w:vAlign w:val="center"/>
            <w:tcBorders>
              <w:top w:val="single" w:sz="4" w:space="0" w:color="D1D5DB"/>
              <w:left w:val="single" w:sz="4" w:space="0" w:color="D1D5DB"/>
              <w:bottom w:val="single" w:sz="4" w:space="0" w:color="D1D5DB"/>
              <w:right w:val="single" w:sz="4" w:space="0" w:color="D1D5DB"/>
            </w:tcBorders>
            <w:shd w:fill="F2F4F7"/>
          </w:tcPr>
          <w:p>
            <w:pPr>
              <w:spacing w:after="0"/>
            </w:pPr>
            <w:r>
              <w:rPr>
                <w:rFonts w:ascii="Calibri" w:hAnsi="Calibri"/>
                <w:b/>
                <w:color w:val="475467"/>
                <w:sz w:val="20"/>
              </w:rPr>
              <w:t>To be completed</w:t>
            </w:r>
          </w:p>
        </w:tc>
      </w:tr>
      <w:tr>
        <w:tc>
          <w:tcPr>
            <w:tcW w:type="dxa" w:w="2592"/>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Observed Result</w:t>
            </w:r>
          </w:p>
        </w:tc>
        <w:tc>
          <w:tcPr>
            <w:tcW w:type="dxa" w:w="6768"/>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To be completed</w:t>
            </w:r>
          </w:p>
        </w:tc>
      </w:tr>
      <w:tr>
        <w:tc>
          <w:tcPr>
            <w:tcW w:type="dxa" w:w="2592"/>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Evidence</w:t>
            </w:r>
          </w:p>
        </w:tc>
        <w:tc>
          <w:tcPr>
            <w:tcW w:type="dxa" w:w="6768"/>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Attach email screenshot or paste notification evidence here.</w:t>
            </w:r>
          </w:p>
        </w:tc>
      </w:tr>
    </w:tbl>
    <w:p>
      <w:pPr>
        <w:pStyle w:val="Heading1"/>
      </w:pPr>
      <w:r>
        <w:t>7. Operational Readiness</w:t>
      </w:r>
    </w:p>
    <w:p>
      <w:pPr>
        <w:pStyle w:val="Heading2"/>
      </w:pPr>
      <w:r>
        <w:t>7.1 Required Configuration</w:t>
      </w:r>
    </w:p>
    <w:p>
      <w:pPr>
        <w:pStyle w:val="ListBullet"/>
      </w:pPr>
      <w:r>
        <w:t>Set CLUSTER_NAME to the target EMR cluster name.</w:t>
      </w:r>
    </w:p>
    <w:p>
      <w:pPr>
        <w:pStyle w:val="ListBullet"/>
      </w:pPr>
      <w:r>
        <w:t>Set EMAIL_RECIPIENTS to the operational support distribution list.</w:t>
      </w:r>
    </w:p>
    <w:p>
      <w:pPr>
        <w:pStyle w:val="ListBullet"/>
      </w:pPr>
      <w:r>
        <w:t>Set SNS_TOPIC_ARN to the SNS topic used for SMS alerting.</w:t>
      </w:r>
    </w:p>
    <w:p>
      <w:pPr>
        <w:pStyle w:val="ListBullet"/>
      </w:pPr>
      <w:r>
        <w:t>Confirm MWAA email/SMTP configuration is working.</w:t>
      </w:r>
    </w:p>
    <w:p>
      <w:pPr>
        <w:pStyle w:val="ListBullet"/>
      </w:pPr>
      <w:r>
        <w:t>Confirm the MWAA execution role can call EMR read APIs and SNS publish.</w:t>
      </w:r>
    </w:p>
    <w:p>
      <w:pPr>
        <w:pStyle w:val="Heading2"/>
      </w:pPr>
      <w:r>
        <w:t>7.2 IAM Permissions</w:t>
      </w:r>
    </w:p>
    <w:tbl>
      <w:tblPr>
        <w:tblStyle w:val="TableGrid"/>
        <w:tblW w:type="auto" w:w="0"/>
        <w:tblLayout w:type="fixed"/>
        <w:tblLook w:firstColumn="1" w:firstRow="1" w:lastColumn="0" w:lastRow="0" w:noHBand="0" w:noVBand="1" w:val="04A0"/>
      </w:tblPr>
      <w:tblGrid>
        <w:gridCol w:w="4680"/>
        <w:gridCol w:w="4680"/>
      </w:tblGrid>
      <w:tr>
        <w:tc>
          <w:tcPr>
            <w:tcW w:type="dxa" w:w="3600"/>
            <w:vAlign w:val="center"/>
            <w:tcBorders>
              <w:top w:val="single" w:sz="4" w:space="0" w:color="D1D5DB"/>
              <w:left w:val="single" w:sz="4" w:space="0" w:color="D1D5DB"/>
              <w:bottom w:val="single" w:sz="4" w:space="0" w:color="D1D5DB"/>
              <w:right w:val="single" w:sz="4" w:space="0" w:color="D1D5DB"/>
            </w:tcBorders>
            <w:shd w:fill="F2F4F7"/>
          </w:tcPr>
          <w:p>
            <w:pPr>
              <w:spacing w:after="0"/>
            </w:pPr>
            <w:r>
              <w:rPr>
                <w:rFonts w:ascii="Calibri" w:hAnsi="Calibri"/>
                <w:b/>
                <w:color w:val="475467"/>
                <w:sz w:val="20"/>
              </w:rPr>
              <w:t>Permission</w:t>
            </w:r>
          </w:p>
        </w:tc>
        <w:tc>
          <w:tcPr>
            <w:tcW w:type="dxa" w:w="5760"/>
            <w:vAlign w:val="center"/>
            <w:tcBorders>
              <w:top w:val="single" w:sz="4" w:space="0" w:color="D1D5DB"/>
              <w:left w:val="single" w:sz="4" w:space="0" w:color="D1D5DB"/>
              <w:bottom w:val="single" w:sz="4" w:space="0" w:color="D1D5DB"/>
              <w:right w:val="single" w:sz="4" w:space="0" w:color="D1D5DB"/>
            </w:tcBorders>
            <w:shd w:fill="F2F4F7"/>
          </w:tcPr>
          <w:p>
            <w:pPr>
              <w:spacing w:after="0"/>
            </w:pPr>
            <w:r>
              <w:rPr>
                <w:rFonts w:ascii="Calibri" w:hAnsi="Calibri"/>
                <w:b/>
                <w:color w:val="475467"/>
                <w:sz w:val="20"/>
              </w:rPr>
              <w:t>Purpose</w:t>
            </w:r>
          </w:p>
        </w:tc>
      </w:tr>
      <w:tr>
        <w:tc>
          <w:tcPr>
            <w:tcW w:type="dxa" w:w="3600"/>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elasticmapreduce:ListClusters</w:t>
            </w:r>
          </w:p>
        </w:tc>
        <w:tc>
          <w:tcPr>
            <w:tcW w:type="dxa" w:w="5760"/>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Find active EMR clusters.</w:t>
            </w:r>
          </w:p>
        </w:tc>
      </w:tr>
      <w:tr>
        <w:tc>
          <w:tcPr>
            <w:tcW w:type="dxa" w:w="3600"/>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elasticmapreduce:DescribeCluster</w:t>
            </w:r>
          </w:p>
        </w:tc>
        <w:tc>
          <w:tcPr>
            <w:tcW w:type="dxa" w:w="5760"/>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Read cluster state and identifiers.</w:t>
            </w:r>
          </w:p>
        </w:tc>
      </w:tr>
      <w:tr>
        <w:tc>
          <w:tcPr>
            <w:tcW w:type="dxa" w:w="3600"/>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elasticmapreduce:ListInstanceGroups</w:t>
            </w:r>
          </w:p>
        </w:tc>
        <w:tc>
          <w:tcPr>
            <w:tcW w:type="dxa" w:w="5760"/>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Read node counts and capacity settings.</w:t>
            </w:r>
          </w:p>
        </w:tc>
      </w:tr>
      <w:tr>
        <w:tc>
          <w:tcPr>
            <w:tcW w:type="dxa" w:w="3600"/>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sns:Publish</w:t>
            </w:r>
          </w:p>
        </w:tc>
        <w:tc>
          <w:tcPr>
            <w:tcW w:type="dxa" w:w="5760"/>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Send SMS alert to the configured topic for failure conditions.</w:t>
            </w:r>
          </w:p>
        </w:tc>
      </w:tr>
    </w:tbl>
    <w:p>
      <w:pPr>
        <w:pStyle w:val="Heading2"/>
      </w:pPr>
      <w:r>
        <w:t>7.3 Monitoring and Troubleshooting</w:t>
      </w:r>
    </w:p>
    <w:p>
      <w:pPr>
        <w:pStyle w:val="ListBullet"/>
      </w:pPr>
      <w:r>
        <w:t>Review the Airflow task logs for the health result and notification summary.</w:t>
      </w:r>
    </w:p>
    <w:p>
      <w:pPr>
        <w:pStyle w:val="ListBullet"/>
      </w:pPr>
      <w:r>
        <w:t>For healthy runs, confirm SMS Sent is False and the log states SMS notification skipped.</w:t>
      </w:r>
    </w:p>
    <w:p>
      <w:pPr>
        <w:pStyle w:val="ListBullet"/>
      </w:pPr>
      <w:r>
        <w:t>For failure scenarios, confirm email and SNS publish outcomes are logged.</w:t>
      </w:r>
    </w:p>
    <w:p>
      <w:pPr>
        <w:pStyle w:val="ListBullet"/>
      </w:pPr>
      <w:r>
        <w:t>If both notification channels fail during an alert scenario, the notification task raises an exception.</w:t>
      </w:r>
    </w:p>
    <w:p>
      <w:pPr>
        <w:pStyle w:val="Heading1"/>
      </w:pPr>
      <w:r>
        <w:t>8. Sign-Off</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2448"/>
            <w:vAlign w:val="center"/>
            <w:tcBorders>
              <w:top w:val="single" w:sz="4" w:space="0" w:color="D1D5DB"/>
              <w:left w:val="single" w:sz="4" w:space="0" w:color="D1D5DB"/>
              <w:bottom w:val="single" w:sz="4" w:space="0" w:color="D1D5DB"/>
              <w:right w:val="single" w:sz="4" w:space="0" w:color="D1D5DB"/>
            </w:tcBorders>
            <w:shd w:fill="F2F4F7"/>
          </w:tcPr>
          <w:p>
            <w:pPr>
              <w:spacing w:after="0"/>
            </w:pPr>
            <w:r>
              <w:rPr>
                <w:rFonts w:ascii="Calibri" w:hAnsi="Calibri"/>
                <w:b/>
                <w:color w:val="475467"/>
                <w:sz w:val="20"/>
              </w:rPr>
              <w:t>Role</w:t>
            </w:r>
          </w:p>
        </w:tc>
        <w:tc>
          <w:tcPr>
            <w:tcW w:type="dxa" w:w="2736"/>
            <w:vAlign w:val="center"/>
            <w:tcBorders>
              <w:top w:val="single" w:sz="4" w:space="0" w:color="D1D5DB"/>
              <w:left w:val="single" w:sz="4" w:space="0" w:color="D1D5DB"/>
              <w:bottom w:val="single" w:sz="4" w:space="0" w:color="D1D5DB"/>
              <w:right w:val="single" w:sz="4" w:space="0" w:color="D1D5DB"/>
            </w:tcBorders>
            <w:shd w:fill="F2F4F7"/>
          </w:tcPr>
          <w:p>
            <w:pPr>
              <w:spacing w:after="0"/>
            </w:pPr>
            <w:r>
              <w:rPr>
                <w:rFonts w:ascii="Calibri" w:hAnsi="Calibri"/>
                <w:b/>
                <w:color w:val="475467"/>
                <w:sz w:val="20"/>
              </w:rPr>
              <w:t>Name</w:t>
            </w:r>
          </w:p>
        </w:tc>
        <w:tc>
          <w:tcPr>
            <w:tcW w:type="dxa" w:w="2016"/>
            <w:vAlign w:val="center"/>
            <w:tcBorders>
              <w:top w:val="single" w:sz="4" w:space="0" w:color="D1D5DB"/>
              <w:left w:val="single" w:sz="4" w:space="0" w:color="D1D5DB"/>
              <w:bottom w:val="single" w:sz="4" w:space="0" w:color="D1D5DB"/>
              <w:right w:val="single" w:sz="4" w:space="0" w:color="D1D5DB"/>
            </w:tcBorders>
            <w:shd w:fill="F2F4F7"/>
          </w:tcPr>
          <w:p>
            <w:pPr>
              <w:spacing w:after="0"/>
            </w:pPr>
            <w:r>
              <w:rPr>
                <w:rFonts w:ascii="Calibri" w:hAnsi="Calibri"/>
                <w:b/>
                <w:color w:val="475467"/>
                <w:sz w:val="20"/>
              </w:rPr>
              <w:t>Approval</w:t>
            </w:r>
          </w:p>
        </w:tc>
        <w:tc>
          <w:tcPr>
            <w:tcW w:type="dxa" w:w="2160"/>
            <w:vAlign w:val="center"/>
            <w:tcBorders>
              <w:top w:val="single" w:sz="4" w:space="0" w:color="D1D5DB"/>
              <w:left w:val="single" w:sz="4" w:space="0" w:color="D1D5DB"/>
              <w:bottom w:val="single" w:sz="4" w:space="0" w:color="D1D5DB"/>
              <w:right w:val="single" w:sz="4" w:space="0" w:color="D1D5DB"/>
            </w:tcBorders>
            <w:shd w:fill="F2F4F7"/>
          </w:tcPr>
          <w:p>
            <w:pPr>
              <w:spacing w:after="0"/>
            </w:pPr>
            <w:r>
              <w:rPr>
                <w:rFonts w:ascii="Calibri" w:hAnsi="Calibri"/>
                <w:b/>
                <w:color w:val="475467"/>
                <w:sz w:val="20"/>
              </w:rPr>
              <w:t>Date</w:t>
            </w:r>
          </w:p>
        </w:tc>
      </w:tr>
      <w:tr>
        <w:tc>
          <w:tcPr>
            <w:tcW w:type="dxa" w:w="2448"/>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Developer</w:t>
            </w:r>
          </w:p>
        </w:tc>
        <w:tc>
          <w:tcPr>
            <w:tcW w:type="dxa" w:w="2736"/>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r>
          </w:p>
        </w:tc>
        <w:tc>
          <w:tcPr>
            <w:tcW w:type="dxa" w:w="2016"/>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r>
          </w:p>
        </w:tc>
        <w:tc>
          <w:tcPr>
            <w:tcW w:type="dxa" w:w="2160"/>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r>
          </w:p>
        </w:tc>
      </w:tr>
      <w:tr>
        <w:tc>
          <w:tcPr>
            <w:tcW w:type="dxa" w:w="2448"/>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Platform Owner</w:t>
            </w:r>
          </w:p>
        </w:tc>
        <w:tc>
          <w:tcPr>
            <w:tcW w:type="dxa" w:w="2736"/>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r>
          </w:p>
        </w:tc>
        <w:tc>
          <w:tcPr>
            <w:tcW w:type="dxa" w:w="2016"/>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r>
          </w:p>
        </w:tc>
        <w:tc>
          <w:tcPr>
            <w:tcW w:type="dxa" w:w="2160"/>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r>
          </w:p>
        </w:tc>
      </w:tr>
      <w:tr>
        <w:tc>
          <w:tcPr>
            <w:tcW w:type="dxa" w:w="2448"/>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Operations / Support</w:t>
            </w:r>
          </w:p>
        </w:tc>
        <w:tc>
          <w:tcPr>
            <w:tcW w:type="dxa" w:w="2736"/>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r>
          </w:p>
        </w:tc>
        <w:tc>
          <w:tcPr>
            <w:tcW w:type="dxa" w:w="2016"/>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r>
          </w:p>
        </w:tc>
        <w:tc>
          <w:tcPr>
            <w:tcW w:type="dxa" w:w="2160"/>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r>
          </w:p>
        </w:tc>
      </w:tr>
      <w:tr>
        <w:tc>
          <w:tcPr>
            <w:tcW w:type="dxa" w:w="2448"/>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t>Business Owner</w:t>
            </w:r>
          </w:p>
        </w:tc>
        <w:tc>
          <w:tcPr>
            <w:tcW w:type="dxa" w:w="2736"/>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r>
          </w:p>
        </w:tc>
        <w:tc>
          <w:tcPr>
            <w:tcW w:type="dxa" w:w="2016"/>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r>
          </w:p>
        </w:tc>
        <w:tc>
          <w:tcPr>
            <w:tcW w:type="dxa" w:w="2160"/>
            <w:vAlign w:val="center"/>
            <w:tcBorders>
              <w:top w:val="single" w:sz="4" w:space="0" w:color="D1D5DB"/>
              <w:left w:val="single" w:sz="4" w:space="0" w:color="D1D5DB"/>
              <w:bottom w:val="single" w:sz="4" w:space="0" w:color="D1D5DB"/>
              <w:right w:val="single" w:sz="4" w:space="0" w:color="D1D5DB"/>
            </w:tcBorders>
          </w:tcPr>
          <w:p>
            <w:pPr>
              <w:spacing w:after="0"/>
            </w:pPr>
            <w:r>
              <w:rPr>
                <w:rFonts w:ascii="Calibri" w:hAnsi="Calibri"/>
                <w:sz w:val="20"/>
              </w:rPr>
            </w:r>
          </w:p>
        </w:tc>
      </w:tr>
    </w:tbl>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8"/>
      </w:rPr>
      <w:t>EMR Health Monitor - Design and Testing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