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1DFBB">
      <w:pPr>
        <w:keepNext w:val="0"/>
        <w:keepLines w:val="0"/>
        <w:pageBreakBefore w:val="0"/>
        <w:widowControl/>
        <w:kinsoku/>
        <w:wordWrap/>
        <w:overflowPunct/>
        <w:topLinePunct w:val="0"/>
        <w:autoSpaceDE/>
        <w:autoSpaceDN/>
        <w:bidi w:val="0"/>
        <w:adjustRightInd/>
        <w:snapToGrid/>
        <w:spacing w:line="192" w:lineRule="auto"/>
        <w:jc w:val="center"/>
        <w:textAlignment w:val="auto"/>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Solar-Powered Vegetable &amp; Fruit Processing Unit for </w:t>
      </w:r>
    </w:p>
    <w:p w14:paraId="41B4557E">
      <w:pPr>
        <w:keepNext w:val="0"/>
        <w:keepLines w:val="0"/>
        <w:pageBreakBefore w:val="0"/>
        <w:widowControl/>
        <w:kinsoku/>
        <w:wordWrap/>
        <w:overflowPunct/>
        <w:topLinePunct w:val="0"/>
        <w:autoSpaceDE/>
        <w:autoSpaceDN/>
        <w:bidi w:val="0"/>
        <w:adjustRightInd/>
        <w:snapToGrid/>
        <w:spacing w:line="192" w:lineRule="auto"/>
        <w:jc w:val="center"/>
        <w:textAlignment w:val="auto"/>
        <w:rPr>
          <w:rFonts w:hint="default" w:ascii="Times New Roman" w:hAnsi="Times New Roman" w:cs="Times New Roman"/>
          <w:sz w:val="32"/>
          <w:szCs w:val="32"/>
          <w:lang w:val="en-IN"/>
        </w:rPr>
      </w:pPr>
      <w:r>
        <w:rPr>
          <w:rFonts w:hint="default" w:ascii="Times New Roman" w:hAnsi="Times New Roman" w:eastAsia="SimSun" w:cs="Times New Roman"/>
          <w:b/>
          <w:bCs/>
          <w:sz w:val="32"/>
          <w:szCs w:val="32"/>
        </w:rPr>
        <w:t>Rural Livelihood Enhancement</w:t>
      </w:r>
    </w:p>
    <w:p w14:paraId="293972CA">
      <w:pPr>
        <w:spacing w:after="0" w:line="240" w:lineRule="auto"/>
        <w:ind w:left="3540"/>
        <w:jc w:val="center"/>
        <w:rPr>
          <w:rFonts w:ascii="Times New Roman" w:hAnsi="Times New Roman" w:cs="Times New Roman"/>
          <w:b/>
          <w:bCs/>
        </w:rPr>
      </w:pPr>
    </w:p>
    <w:p w14:paraId="4A871B39">
      <w:pPr>
        <w:spacing w:after="0" w:line="240" w:lineRule="auto"/>
        <w:jc w:val="center"/>
        <w:rPr>
          <w:rFonts w:hint="default" w:ascii="Times New Roman" w:hAnsi="Times New Roman" w:cs="Times New Roman"/>
          <w:b/>
          <w:bCs/>
          <w:vertAlign w:val="superscript"/>
          <w:lang w:val="en-IN"/>
        </w:rPr>
      </w:pPr>
      <w:r>
        <w:rPr>
          <w:rFonts w:hint="default" w:ascii="Times New Roman" w:hAnsi="Times New Roman" w:cs="Times New Roman"/>
          <w:b/>
          <w:bCs/>
          <w:lang w:val="en-IN"/>
        </w:rPr>
        <w:t>BALAJI P</w:t>
      </w:r>
      <w:r>
        <w:rPr>
          <w:rFonts w:ascii="Times New Roman" w:hAnsi="Times New Roman" w:cs="Times New Roman"/>
          <w:b/>
          <w:bCs/>
          <w:vertAlign w:val="superscript"/>
        </w:rPr>
        <w:t>1</w:t>
      </w:r>
      <w:r>
        <w:rPr>
          <w:rFonts w:ascii="Times New Roman" w:hAnsi="Times New Roman" w:cs="Times New Roman"/>
          <w:b/>
          <w:bCs/>
        </w:rPr>
        <w:t xml:space="preserve">, </w:t>
      </w:r>
      <w:r>
        <w:rPr>
          <w:rFonts w:hint="default" w:ascii="Times New Roman" w:hAnsi="Times New Roman" w:cs="Times New Roman"/>
          <w:b/>
          <w:bCs/>
          <w:lang w:val="en-IN"/>
        </w:rPr>
        <w:t>NITHIN S</w:t>
      </w:r>
      <w:r>
        <w:rPr>
          <w:rFonts w:ascii="Times New Roman" w:hAnsi="Times New Roman" w:cs="Times New Roman"/>
          <w:b/>
          <w:bCs/>
          <w:vertAlign w:val="superscript"/>
        </w:rPr>
        <w:t>2</w:t>
      </w:r>
      <w:r>
        <w:rPr>
          <w:rFonts w:ascii="Times New Roman" w:hAnsi="Times New Roman" w:cs="Times New Roman"/>
          <w:b/>
          <w:bCs/>
        </w:rPr>
        <w:t>,</w:t>
      </w:r>
      <w:r>
        <w:rPr>
          <w:rFonts w:hint="default" w:ascii="Times New Roman" w:hAnsi="Times New Roman" w:cs="Times New Roman"/>
          <w:b/>
          <w:bCs/>
          <w:lang w:val="en-IN"/>
        </w:rPr>
        <w:t xml:space="preserve"> THIRUMALAI</w:t>
      </w:r>
      <w:r>
        <w:rPr>
          <w:rFonts w:ascii="Times New Roman" w:hAnsi="Times New Roman" w:cs="Times New Roman"/>
          <w:b/>
          <w:bCs/>
          <w:vertAlign w:val="superscript"/>
        </w:rPr>
        <w:t>2</w:t>
      </w:r>
      <w:r>
        <w:rPr>
          <w:rFonts w:ascii="Times New Roman" w:hAnsi="Times New Roman" w:cs="Times New Roman"/>
          <w:b/>
          <w:bCs/>
        </w:rPr>
        <w:t>,</w:t>
      </w:r>
    </w:p>
    <w:p w14:paraId="2E0F660A">
      <w:pPr>
        <w:spacing w:after="0" w:line="240" w:lineRule="auto"/>
        <w:jc w:val="center"/>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 xml:space="preserve">Department </w:t>
      </w:r>
      <w:r>
        <w:rPr>
          <w:rFonts w:hint="default" w:ascii="Times New Roman" w:hAnsi="Times New Roman" w:cs="Times New Roman"/>
          <w:lang w:val="en-IN"/>
        </w:rPr>
        <w:t>of Artificial Intelligence and Data Science</w:t>
      </w:r>
      <w:r>
        <w:rPr>
          <w:rFonts w:ascii="Times New Roman" w:hAnsi="Times New Roman" w:cs="Times New Roman"/>
        </w:rPr>
        <w:t xml:space="preserve">, </w:t>
      </w:r>
      <w:r>
        <w:rPr>
          <w:rFonts w:ascii="Times New Roman" w:hAnsi="Times New Roman" w:cs="Times New Roman"/>
          <w:vertAlign w:val="superscript"/>
        </w:rPr>
        <w:t>2</w:t>
      </w:r>
      <w:r>
        <w:rPr>
          <w:rFonts w:ascii="Times New Roman" w:hAnsi="Times New Roman" w:cs="Times New Roman"/>
        </w:rPr>
        <w:t xml:space="preserve">Department </w:t>
      </w:r>
      <w:r>
        <w:rPr>
          <w:rFonts w:hint="default" w:ascii="Times New Roman" w:hAnsi="Times New Roman" w:cs="Times New Roman"/>
          <w:lang w:val="en-IN"/>
        </w:rPr>
        <w:t>of Computer Science and Engineering</w:t>
      </w:r>
      <w:r>
        <w:rPr>
          <w:rFonts w:ascii="Times New Roman" w:hAnsi="Times New Roman" w:cs="Times New Roman"/>
        </w:rPr>
        <w:t>, Sri Sairam Institute of technology, Sri Sai Leo Nagar, West Tambaram, Chennai</w:t>
      </w:r>
      <w:r>
        <w:rPr>
          <w:rFonts w:hint="default" w:ascii="Times New Roman" w:hAnsi="Times New Roman" w:cs="Times New Roman"/>
          <w:lang w:val="en-IN"/>
        </w:rPr>
        <w:t xml:space="preserve"> </w:t>
      </w:r>
      <w:r>
        <w:rPr>
          <w:rFonts w:ascii="Times New Roman" w:hAnsi="Times New Roman" w:cs="Times New Roman"/>
        </w:rPr>
        <w:t>-</w:t>
      </w:r>
      <w:r>
        <w:rPr>
          <w:rFonts w:hint="default" w:ascii="Times New Roman" w:hAnsi="Times New Roman" w:cs="Times New Roman"/>
          <w:lang w:val="en-IN"/>
        </w:rPr>
        <w:t xml:space="preserve"> </w:t>
      </w:r>
      <w:r>
        <w:rPr>
          <w:rFonts w:ascii="Times New Roman" w:hAnsi="Times New Roman" w:cs="Times New Roman"/>
        </w:rPr>
        <w:t>600</w:t>
      </w:r>
      <w:r>
        <w:rPr>
          <w:rFonts w:hint="default" w:ascii="Times New Roman" w:hAnsi="Times New Roman" w:cs="Times New Roman"/>
          <w:lang w:val="en-IN"/>
        </w:rPr>
        <w:t xml:space="preserve"> </w:t>
      </w:r>
      <w:r>
        <w:rPr>
          <w:rFonts w:ascii="Times New Roman" w:hAnsi="Times New Roman" w:cs="Times New Roman"/>
        </w:rPr>
        <w:t>044, Tamil Nadu, India.</w:t>
      </w:r>
    </w:p>
    <w:p w14:paraId="58B8EA5D">
      <w:pPr>
        <w:pStyle w:val="16"/>
        <w:numPr>
          <w:ilvl w:val="0"/>
          <w:numId w:val="1"/>
        </w:numPr>
        <w:spacing w:after="0" w:line="240" w:lineRule="auto"/>
        <w:jc w:val="center"/>
        <w:rPr>
          <w:rFonts w:ascii="Times New Roman" w:hAnsi="Times New Roman" w:cs="Times New Roman"/>
          <w:i/>
          <w:iCs/>
          <w:color w:val="2E75B6" w:themeColor="accent1" w:themeShade="BF"/>
          <w:u w:val="single"/>
        </w:rPr>
      </w:pPr>
      <w:r>
        <w:rPr>
          <w:rFonts w:ascii="Times New Roman" w:hAnsi="Times New Roman" w:cs="Times New Roman"/>
        </w:rPr>
        <w:t>Corresponding Author E-mail</w:t>
      </w:r>
      <w:r>
        <w:rPr>
          <w:rFonts w:ascii="Times New Roman" w:hAnsi="Times New Roman" w:cs="Times New Roman"/>
          <w:i/>
          <w:iCs/>
          <w:color w:val="2E75B6" w:themeColor="accent1" w:themeShade="BF"/>
        </w:rPr>
        <w:t>:</w:t>
      </w:r>
      <w:r>
        <w:rPr>
          <w:rFonts w:ascii="Times New Roman" w:hAnsi="Times New Roman" w:cs="Times New Roman"/>
          <w:i/>
          <w:iCs/>
          <w:color w:val="2E75B6" w:themeColor="accent1" w:themeShade="BF"/>
          <w:u w:val="single"/>
        </w:rPr>
        <w:t xml:space="preserve"> </w:t>
      </w:r>
      <w:r>
        <w:rPr>
          <w:rFonts w:ascii="Times New Roman" w:hAnsi="Times New Roman" w:cs="Times New Roman"/>
          <w:i/>
          <w:iCs/>
          <w:color w:val="2E75B6" w:themeColor="accent1" w:themeShade="BF"/>
          <w:u w:val="single"/>
        </w:rPr>
        <w:fldChar w:fldCharType="begin"/>
      </w:r>
      <w:r>
        <w:rPr>
          <w:rFonts w:ascii="Times New Roman" w:hAnsi="Times New Roman" w:cs="Times New Roman"/>
          <w:i/>
          <w:iCs/>
          <w:color w:val="2E75B6" w:themeColor="accent1" w:themeShade="BF"/>
          <w:u w:val="single"/>
        </w:rPr>
        <w:instrText xml:space="preserve"> HYPERLINK "mailto:sec@sairamtap.edu.in" </w:instrText>
      </w:r>
      <w:r>
        <w:rPr>
          <w:rFonts w:ascii="Times New Roman" w:hAnsi="Times New Roman" w:cs="Times New Roman"/>
          <w:i/>
          <w:iCs/>
          <w:color w:val="2E75B6" w:themeColor="accent1" w:themeShade="BF"/>
          <w:u w:val="single"/>
        </w:rPr>
        <w:fldChar w:fldCharType="separate"/>
      </w:r>
      <w:r>
        <w:rPr>
          <w:rStyle w:val="8"/>
          <w:rFonts w:ascii="Times New Roman" w:hAnsi="Times New Roman" w:cs="Times New Roman"/>
          <w:i/>
          <w:iCs/>
        </w:rPr>
        <w:t>s</w:t>
      </w:r>
      <w:r>
        <w:rPr>
          <w:rStyle w:val="8"/>
          <w:rFonts w:hint="default" w:ascii="Times New Roman" w:hAnsi="Times New Roman" w:cs="Times New Roman"/>
          <w:i/>
          <w:iCs/>
          <w:lang w:val="en-IN"/>
        </w:rPr>
        <w:t>ec24cs108</w:t>
      </w:r>
      <w:r>
        <w:rPr>
          <w:rStyle w:val="8"/>
          <w:rFonts w:ascii="Times New Roman" w:hAnsi="Times New Roman" w:cs="Times New Roman"/>
          <w:i/>
          <w:iCs/>
        </w:rPr>
        <w:t>@sairamtap.edu.in</w:t>
      </w:r>
      <w:r>
        <w:rPr>
          <w:rFonts w:ascii="Times New Roman" w:hAnsi="Times New Roman" w:cs="Times New Roman"/>
          <w:i/>
          <w:iCs/>
          <w:color w:val="2E75B6" w:themeColor="accent1" w:themeShade="BF"/>
          <w:u w:val="single"/>
        </w:rPr>
        <w:fldChar w:fldCharType="end"/>
      </w:r>
      <w:r>
        <w:rPr>
          <w:rFonts w:hint="default" w:ascii="Times New Roman" w:hAnsi="Times New Roman" w:cs="Times New Roman"/>
          <w:i/>
          <w:iCs/>
          <w:color w:val="2E75B6" w:themeColor="accent1" w:themeShade="BF"/>
          <w:u w:val="single"/>
          <w:lang w:val="en-IN"/>
        </w:rPr>
        <w:t xml:space="preserve"> </w:t>
      </w:r>
      <w:bookmarkStart w:id="0" w:name="_GoBack"/>
      <w:bookmarkEnd w:id="0"/>
    </w:p>
    <w:p w14:paraId="75E7085C">
      <w:pPr>
        <w:rPr>
          <w:rFonts w:ascii="Times New Roman" w:hAnsi="Times New Roman" w:cs="Times New Roman"/>
        </w:rPr>
      </w:pPr>
    </w:p>
    <w:p w14:paraId="51A6A6D2">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2BA5FD53">
      <w:pPr>
        <w:pStyle w:val="9"/>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4"/>
          <w:szCs w:val="24"/>
          <w:lang w:val="en-IN"/>
        </w:rPr>
      </w:pPr>
      <w:r>
        <w:t xml:space="preserve">Agricultural produce in rural communities often suffers significant post-harvest losses due to inadequate preservation facilities, limited electricity access, and lack of value-addition opportunities. Farmers are frequently forced to sell fresh fruits and vegetables at low market prices, resulting in reduced income and food wastage. This project proposes the development of a </w:t>
      </w:r>
      <w:r>
        <w:rPr>
          <w:rStyle w:val="10"/>
        </w:rPr>
        <w:t>Solar-Powered Vegetable and Fruit Processing Unit</w:t>
      </w:r>
      <w:r>
        <w:t xml:space="preserve"> that enables rural communities to process fresh produce into value-added products such as dehydrated vegetables, fruit slices, powders, and preserves using clean solar energy. The system integrates photovoltaic panels, a hybrid solar dryer, battery storage, and basic food processing equipment to ensure reliable operation throughout the year. The initiative aims to empower farmers, women Self-Help Groups (SHGs), and rural entrepreneurs by providing affordable processing technology, reducing post-harvest losses, extending product shelf life, and generating sustainable income opportunities. Through community training and local participation, the project promotes environmentally sustainable livelihoods while supporting the IEEE Smart Village pillars of </w:t>
      </w:r>
      <w:r>
        <w:rPr>
          <w:rStyle w:val="10"/>
        </w:rPr>
        <w:t>Electricity, Education, and Enterprise</w:t>
      </w:r>
      <w:r>
        <w:t>.</w:t>
      </w:r>
    </w:p>
    <w:p w14:paraId="072ECB53">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Background Survey</w:t>
      </w:r>
    </w:p>
    <w:p w14:paraId="0327073B">
      <w:pPr>
        <w:pStyle w:val="9"/>
        <w:keepNext w:val="0"/>
        <w:keepLines w:val="0"/>
        <w:widowControl/>
        <w:suppressLineNumbers w:val="0"/>
        <w:spacing w:before="0" w:beforeAutospacing="1" w:after="0" w:afterAutospacing="1"/>
        <w:ind w:left="0" w:right="0"/>
        <w:jc w:val="both"/>
      </w:pPr>
      <w:r>
        <w:t>India is one of the world's largest producers of fruits and vegetables; however, a considerable percentage of harvested produce is lost due to inadequate preservation facilities, poor storage infrastructure, and limited access to food processing technologies. Small and marginal farmers are often forced to sell fresh produce at lower prices during peak harvest seasons, resulting in reduced income and increased food wastage.</w:t>
      </w:r>
    </w:p>
    <w:p w14:paraId="21676F86">
      <w:pPr>
        <w:pStyle w:val="9"/>
        <w:keepNext w:val="0"/>
        <w:keepLines w:val="0"/>
        <w:widowControl/>
        <w:suppressLineNumbers w:val="0"/>
        <w:jc w:val="both"/>
      </w:pPr>
      <w:r>
        <w:t>Existing food processing methods rely on conventional electricity or centralized industries, making them less accessible to rural communities. Studies on solar-powered food processing indicate that renewable energy can significantly reduce operational costs while improving food preservation and shelf life.</w:t>
      </w:r>
    </w:p>
    <w:p w14:paraId="713D06F6">
      <w:pPr>
        <w:pStyle w:val="9"/>
        <w:keepNext w:val="0"/>
        <w:keepLines w:val="0"/>
        <w:widowControl/>
        <w:suppressLineNumbers w:val="0"/>
        <w:jc w:val="both"/>
      </w:pPr>
      <w:r>
        <w:t>To better understand the problem, our team conducted a preliminary survey among local farmers, vendors, and rural households regarding post-harvest losses, seasonal crop availability, current preservation practices, and willingness to adopt decentralized processing units. The survey findings indicated a strong demand for affordable community-based processing infrastructure.</w:t>
      </w:r>
    </w:p>
    <w:p w14:paraId="6CE0B3F2">
      <w:pPr>
        <w:pStyle w:val="9"/>
        <w:keepNext w:val="0"/>
        <w:keepLines w:val="0"/>
        <w:widowControl/>
        <w:suppressLineNumbers w:val="0"/>
      </w:pPr>
      <w:r>
        <w:rPr>
          <w:rStyle w:val="10"/>
        </w:rPr>
        <w:t>Supporting Survey &amp; Research Documents (Sample):</w:t>
      </w:r>
    </w:p>
    <w:p w14:paraId="6B03562E">
      <w:pPr>
        <w:keepNext w:val="0"/>
        <w:keepLines w:val="0"/>
        <w:widowControl/>
        <w:numPr>
          <w:ilvl w:val="0"/>
          <w:numId w:val="2"/>
        </w:numPr>
        <w:suppressLineNumbers w:val="0"/>
        <w:spacing w:before="0" w:beforeAutospacing="1" w:after="0" w:afterAutospacing="1"/>
        <w:ind w:left="720" w:hanging="360"/>
      </w:pPr>
      <w:r>
        <w:t xml:space="preserve">Field Survey Report: https://drive.google.com/drive/folders/XXXXXXXXXXXX </w:t>
      </w:r>
    </w:p>
    <w:p w14:paraId="14692DBF">
      <w:pPr>
        <w:keepNext w:val="0"/>
        <w:keepLines w:val="0"/>
        <w:widowControl/>
        <w:numPr>
          <w:ilvl w:val="0"/>
          <w:numId w:val="2"/>
        </w:numPr>
        <w:suppressLineNumbers w:val="0"/>
        <w:spacing w:before="0" w:beforeAutospacing="1" w:after="0" w:afterAutospacing="1"/>
        <w:ind w:left="720" w:hanging="360"/>
      </w:pPr>
      <w:r>
        <w:t xml:space="preserve">Survey Questionnaire &amp; Responses: https://drive.google.com/file/d/XXXXXXXXXXXX/view </w:t>
      </w:r>
    </w:p>
    <w:p w14:paraId="6293935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eastAsia="SimSun" w:cs="Times New Roman"/>
          <w:sz w:val="24"/>
          <w:szCs w:val="24"/>
          <w:lang w:val="en-IN"/>
        </w:rPr>
      </w:pPr>
      <w:r>
        <w:t xml:space="preserve">Photos of Community Visit: https://drive.google.com/drive/folders/XXXXXXXXXXXX </w:t>
      </w:r>
    </w:p>
    <w:p w14:paraId="729E30BF">
      <w:pPr>
        <w:autoSpaceDE w:val="0"/>
        <w:autoSpaceDN w:val="0"/>
        <w:adjustRightInd w:val="0"/>
        <w:spacing w:after="0" w:line="240" w:lineRule="auto"/>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Problem Statement</w:t>
      </w:r>
    </w:p>
    <w:p w14:paraId="497953C7">
      <w:pPr>
        <w:autoSpaceDE w:val="0"/>
        <w:autoSpaceDN w:val="0"/>
        <w:adjustRightInd w:val="0"/>
        <w:spacing w:after="0" w:line="240" w:lineRule="auto"/>
        <w:rPr>
          <w:rFonts w:hint="default" w:ascii="Times New Roman" w:hAnsi="Times New Roman" w:cs="Times New Roman"/>
          <w:b/>
          <w:sz w:val="28"/>
          <w:szCs w:val="28"/>
          <w:lang w:val="en-IN"/>
        </w:rPr>
      </w:pPr>
    </w:p>
    <w:p w14:paraId="560E8536">
      <w:pPr>
        <w:autoSpaceDE w:val="0"/>
        <w:autoSpaceDN w:val="0"/>
        <w:adjustRightInd w:val="0"/>
        <w:spacing w:after="0" w:line="24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Small and marginal farmers in rural communities experience substantial economic losses due to the absence of affordable food processing and preservation facilities. Seasonal overproduction often results in spoilage, reduced market prices, and food wastage. Limited access to reliable electricity further restricts the adoption of conventional processing technologies, while existing industrial facilities remain inaccessible because of transportation costs and centralized operations. These challenges reduce farmers' income and limit livelihood opportunities, particularly for women and youth. A sustainable, decentralized, and energy-efficient processing solution is required to convert agricultural produce into value-added products while creating employment and improving rural economic resilience.</w:t>
      </w:r>
    </w:p>
    <w:p w14:paraId="63EA6438">
      <w:pPr>
        <w:autoSpaceDE w:val="0"/>
        <w:autoSpaceDN w:val="0"/>
        <w:adjustRightInd w:val="0"/>
        <w:spacing w:after="0" w:line="240" w:lineRule="auto"/>
        <w:rPr>
          <w:rFonts w:ascii="SimSun" w:hAnsi="SimSun" w:eastAsia="SimSun" w:cs="SimSun"/>
          <w:sz w:val="24"/>
          <w:szCs w:val="24"/>
        </w:rPr>
      </w:pPr>
    </w:p>
    <w:p w14:paraId="35EFD533">
      <w:pPr>
        <w:autoSpaceDE w:val="0"/>
        <w:autoSpaceDN w:val="0"/>
        <w:adjustRightInd w:val="0"/>
        <w:spacing w:after="0" w:line="240" w:lineRule="auto"/>
        <w:rPr>
          <w:rFonts w:hint="default" w:ascii="Times New Roman" w:hAnsi="Times New Roman" w:cs="Times New Roman"/>
          <w:b/>
          <w:sz w:val="24"/>
          <w:szCs w:val="24"/>
          <w:lang w:val="en-IN"/>
        </w:rPr>
      </w:pPr>
      <w:r>
        <w:rPr>
          <w:rFonts w:hint="default" w:ascii="Times New Roman" w:hAnsi="Times New Roman" w:cs="Times New Roman"/>
          <w:b/>
          <w:sz w:val="28"/>
          <w:szCs w:val="28"/>
          <w:lang w:val="en-IN"/>
        </w:rPr>
        <w:t>Proposed Solution</w:t>
      </w:r>
      <w:r>
        <w:rPr>
          <w:rFonts w:hint="default" w:ascii="Times New Roman" w:hAnsi="Times New Roman" w:cs="Times New Roman"/>
          <w:b/>
          <w:sz w:val="24"/>
          <w:szCs w:val="24"/>
          <w:lang w:val="en-IN"/>
        </w:rPr>
        <w:t xml:space="preserve"> </w:t>
      </w:r>
    </w:p>
    <w:p w14:paraId="6E8B4E2B">
      <w:pPr>
        <w:pStyle w:val="9"/>
        <w:keepNext w:val="0"/>
        <w:keepLines w:val="0"/>
        <w:widowControl/>
        <w:suppressLineNumbers w:val="0"/>
        <w:spacing w:before="0" w:beforeAutospacing="1" w:after="0" w:afterAutospacing="1"/>
        <w:ind w:left="0" w:right="0"/>
        <w:jc w:val="both"/>
      </w:pPr>
      <w:r>
        <w:t xml:space="preserve">The proposed project aims to establish a </w:t>
      </w:r>
      <w:r>
        <w:rPr>
          <w:rStyle w:val="10"/>
        </w:rPr>
        <w:t>Solar-Powered Vegetable and Fruit Processing Unit</w:t>
      </w:r>
      <w:r>
        <w:t xml:space="preserve"> capable of converting fresh agricultural produce into value-added products using renewable energy. The system integrates rooftop solar photovoltaic panels, battery backup, a hybrid solar dryer, food preparation equipment, and hygienic packaging facilities to enable decentralized processing within rural communities.</w:t>
      </w:r>
    </w:p>
    <w:p w14:paraId="405EE18A">
      <w:pPr>
        <w:pStyle w:val="9"/>
        <w:keepNext w:val="0"/>
        <w:keepLines w:val="0"/>
        <w:widowControl/>
        <w:suppressLineNumbers w:val="0"/>
        <w:jc w:val="both"/>
      </w:pPr>
      <w:r>
        <w:t>The workflow begins with the collection of fresh produce from local farmers. The produce is washed, sorted, sliced, and dehydrated using a hybrid solar drying system designed to preserve nutritional value while minimizing energy consumption. After drying, the processed products are packaged and marketed through local cooperatives, farmer producer organizations (FPOs), Self-Help Groups (SHGs), and digital marketplaces.</w:t>
      </w:r>
    </w:p>
    <w:p w14:paraId="61BB510A">
      <w:pPr>
        <w:pStyle w:val="9"/>
        <w:keepNext w:val="0"/>
        <w:keepLines w:val="0"/>
        <w:widowControl/>
        <w:suppressLineNumbers w:val="0"/>
        <w:jc w:val="both"/>
      </w:pPr>
      <w:r>
        <w:t>To validate the feasibility of the concept, an initial prototype/model was designed and demonstrated. The prototype showcases the processing workflow, solar energy integration, and expected operational methodology.</w:t>
      </w:r>
    </w:p>
    <w:p w14:paraId="2C98E539">
      <w:pPr>
        <w:pStyle w:val="9"/>
        <w:keepNext w:val="0"/>
        <w:keepLines w:val="0"/>
        <w:widowControl/>
        <w:suppressLineNumbers w:val="0"/>
      </w:pPr>
      <w:r>
        <w:rPr>
          <w:rStyle w:val="10"/>
        </w:rPr>
        <w:t>Prototype &amp; Demonstration (Sample):</w:t>
      </w:r>
    </w:p>
    <w:p w14:paraId="30D32903">
      <w:pPr>
        <w:keepNext w:val="0"/>
        <w:keepLines w:val="0"/>
        <w:widowControl/>
        <w:numPr>
          <w:ilvl w:val="0"/>
          <w:numId w:val="3"/>
        </w:numPr>
        <w:suppressLineNumbers w:val="0"/>
        <w:spacing w:before="0" w:beforeAutospacing="1" w:after="0" w:afterAutospacing="1"/>
        <w:ind w:left="720" w:hanging="360"/>
      </w:pPr>
      <w:r>
        <w:t xml:space="preserve">Prototype Video: https://youtu.be/XXXXXXXXXXX </w:t>
      </w:r>
    </w:p>
    <w:p w14:paraId="4FE1D4E7">
      <w:pPr>
        <w:keepNext w:val="0"/>
        <w:keepLines w:val="0"/>
        <w:widowControl/>
        <w:numPr>
          <w:ilvl w:val="0"/>
          <w:numId w:val="3"/>
        </w:numPr>
        <w:suppressLineNumbers w:val="0"/>
        <w:spacing w:before="0" w:beforeAutospacing="1" w:after="0" w:afterAutospacing="1"/>
        <w:ind w:left="720" w:hanging="360"/>
      </w:pPr>
      <w:r>
        <w:t xml:space="preserve">Working Prototype Repository: https://github.com/username/solar-food-processing </w:t>
      </w:r>
    </w:p>
    <w:p w14:paraId="351DD752">
      <w:pPr>
        <w:keepNext w:val="0"/>
        <w:keepLines w:val="0"/>
        <w:widowControl/>
        <w:numPr>
          <w:ilvl w:val="0"/>
          <w:numId w:val="3"/>
        </w:numPr>
        <w:suppressLineNumbers w:val="0"/>
        <w:spacing w:before="0" w:beforeAutospacing="1" w:after="0" w:afterAutospacing="1"/>
        <w:ind w:left="720" w:hanging="360"/>
      </w:pPr>
      <w:r>
        <w:t xml:space="preserve">CAD Design / Circuit Design: https://drive.google.com/drive/folders/XXXXXXXXXXXX </w:t>
      </w:r>
    </w:p>
    <w:p w14:paraId="7CF5C805">
      <w:pPr>
        <w:keepNext w:val="0"/>
        <w:keepLines w:val="0"/>
        <w:widowControl/>
        <w:numPr>
          <w:ilvl w:val="0"/>
          <w:numId w:val="3"/>
        </w:numPr>
        <w:suppressLineNumbers w:val="0"/>
        <w:spacing w:before="0" w:beforeAutospacing="1" w:after="0" w:afterAutospacing="1"/>
        <w:ind w:left="720" w:hanging="360"/>
      </w:pPr>
      <w:r>
        <w:t xml:space="preserve">Live Demo / Website (Optional): https://prototype-demo.vercel.app </w:t>
      </w:r>
    </w:p>
    <w:p w14:paraId="638D46DB">
      <w:pPr>
        <w:pStyle w:val="9"/>
        <w:keepNext w:val="0"/>
        <w:keepLines w:val="0"/>
        <w:widowControl/>
        <w:suppressLineNumbers w:val="0"/>
        <w:jc w:val="both"/>
      </w:pPr>
      <w:r>
        <w:t>Community engagement is a core aspect of the project. Local women Self-Help Groups and rural youth will receive hands-on training in food processing, equipment operation, packaging, quality assurance, branding, and entrepreneurship. This ensures that the technology is not only deployed but also sustainably managed by the community.</w:t>
      </w:r>
    </w:p>
    <w:p w14:paraId="0BA0D931">
      <w:pPr>
        <w:pStyle w:val="9"/>
        <w:keepNext w:val="0"/>
        <w:keepLines w:val="0"/>
        <w:widowControl/>
        <w:suppressLineNumbers w:val="0"/>
        <w:jc w:val="both"/>
      </w:pPr>
      <w:r>
        <w:t>The modular architecture allows future expansion based on processing demand, making the solution scalable, cost-effective, and environmentally sustainable. By combining renewable electricity with food processing and skill development, the project strengthens all three IEEE Smart Village pillars</w:t>
      </w:r>
      <w:r>
        <w:rPr>
          <w:rFonts w:hint="default"/>
          <w:lang w:val="en-IN"/>
        </w:rPr>
        <w:t xml:space="preserve"> -</w:t>
      </w:r>
      <w:r>
        <w:rPr>
          <w:rStyle w:val="10"/>
        </w:rPr>
        <w:t>Electricity, Education, and Enterprise</w:t>
      </w:r>
      <w:r>
        <w:t>.</w:t>
      </w:r>
    </w:p>
    <w:p w14:paraId="3F21AF3A">
      <w:pPr>
        <w:autoSpaceDE w:val="0"/>
        <w:autoSpaceDN w:val="0"/>
        <w:adjustRightInd w:val="0"/>
        <w:spacing w:after="0" w:line="240" w:lineRule="auto"/>
        <w:rPr>
          <w:rFonts w:hint="default" w:ascii="Times New Roman" w:hAnsi="Times New Roman" w:cs="Times New Roman"/>
          <w:b/>
          <w:sz w:val="24"/>
          <w:szCs w:val="24"/>
          <w:lang w:val="en-IN"/>
        </w:rPr>
      </w:pPr>
    </w:p>
    <w:p w14:paraId="1234C0D3">
      <w:pPr>
        <w:autoSpaceDE w:val="0"/>
        <w:autoSpaceDN w:val="0"/>
        <w:adjustRightInd w:val="0"/>
        <w:spacing w:after="0" w:line="240" w:lineRule="auto"/>
        <w:rPr>
          <w:rFonts w:hint="default" w:ascii="Times New Roman" w:hAnsi="Times New Roman" w:cs="Times New Roman"/>
          <w:b/>
          <w:sz w:val="24"/>
          <w:szCs w:val="24"/>
          <w:lang w:val="en-IN"/>
        </w:rPr>
      </w:pPr>
      <w:r>
        <w:rPr>
          <w:rFonts w:hint="default" w:ascii="Times New Roman" w:hAnsi="Times New Roman" w:cs="Times New Roman"/>
          <w:b/>
          <w:sz w:val="24"/>
          <w:szCs w:val="24"/>
          <w:lang w:val="en-IN"/>
        </w:rPr>
        <w:br w:type="textWrapping"/>
      </w:r>
      <w:r>
        <w:rPr>
          <w:rFonts w:hint="default" w:ascii="Times New Roman" w:hAnsi="Times New Roman" w:cs="Times New Roman"/>
          <w:b/>
          <w:sz w:val="28"/>
          <w:szCs w:val="28"/>
          <w:lang w:val="en-IN"/>
        </w:rPr>
        <w:t xml:space="preserve">Expected Outcome </w:t>
      </w:r>
    </w:p>
    <w:p w14:paraId="30F200A8">
      <w:pPr>
        <w:pStyle w:val="9"/>
        <w:keepNext w:val="0"/>
        <w:keepLines w:val="0"/>
        <w:widowControl/>
        <w:suppressLineNumbers w:val="0"/>
        <w:spacing w:before="0" w:beforeAutospacing="1" w:after="0" w:afterAutospacing="1"/>
        <w:ind w:left="0" w:right="0"/>
        <w:jc w:val="both"/>
      </w:pPr>
      <w:r>
        <w:t>The project is expected to significantly reduce post-harvest losses by providing farmers with an accessible and affordable food processing facility. The solar-powered unit will enable the production of high-quality dehydrated fruits, vegetables, powders, and preserved products with extended shelf life and increased market value. The initiative will create livelihood opportunities for women Self-Help Groups, rural youth, and local entrepreneurs through skill development and enterprise creation. By utilizing renewable energy, the system minimizes operational costs and environmental impact while improving food security and reducing waste. The modular nature of the project allows easy replication across multiple rural communities, making it a scalable model for sustainable village development. Overall, the project strengthens rural economies while promoting clean energy adoption and community empowerment.</w:t>
      </w:r>
    </w:p>
    <w:p w14:paraId="5A610041">
      <w:pPr>
        <w:autoSpaceDE w:val="0"/>
        <w:autoSpaceDN w:val="0"/>
        <w:adjustRightInd w:val="0"/>
        <w:spacing w:after="0" w:line="240" w:lineRule="auto"/>
        <w:rPr>
          <w:rFonts w:hint="default" w:ascii="Times New Roman" w:hAnsi="Times New Roman" w:cs="Times New Roman"/>
          <w:b/>
          <w:sz w:val="28"/>
          <w:szCs w:val="28"/>
          <w:lang w:val="en-IN"/>
        </w:rPr>
      </w:pPr>
      <w:r>
        <w:rPr>
          <w:rFonts w:hint="default" w:ascii="Times New Roman" w:hAnsi="Times New Roman" w:cs="Times New Roman"/>
          <w:b/>
          <w:sz w:val="24"/>
          <w:szCs w:val="24"/>
          <w:lang w:val="en-IN"/>
        </w:rPr>
        <w:br w:type="textWrapping"/>
      </w:r>
      <w:r>
        <w:rPr>
          <w:rFonts w:hint="default" w:ascii="Times New Roman" w:hAnsi="Times New Roman" w:cs="Times New Roman"/>
          <w:b/>
          <w:sz w:val="28"/>
          <w:szCs w:val="28"/>
          <w:lang w:val="en-IN"/>
        </w:rPr>
        <w:t>Estimated Budget</w:t>
      </w:r>
    </w:p>
    <w:p w14:paraId="51E5232A">
      <w:pPr>
        <w:autoSpaceDE w:val="0"/>
        <w:autoSpaceDN w:val="0"/>
        <w:adjustRightInd w:val="0"/>
        <w:spacing w:after="0" w:line="240" w:lineRule="auto"/>
        <w:rPr>
          <w:rFonts w:hint="default" w:ascii="Times New Roman" w:hAnsi="Times New Roman" w:cs="Times New Roman"/>
          <w:b/>
          <w:sz w:val="28"/>
          <w:szCs w:val="28"/>
          <w:lang w:val="en-I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954"/>
        <w:gridCol w:w="3008"/>
      </w:tblGrid>
      <w:tr w14:paraId="6540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4" w:type="dxa"/>
          </w:tcPr>
          <w:p w14:paraId="6F1BE036">
            <w:pPr>
              <w:pStyle w:val="9"/>
              <w:keepNext w:val="0"/>
              <w:keepLines w:val="0"/>
              <w:widowControl/>
              <w:suppressLineNumbers w:val="0"/>
              <w:spacing w:before="0" w:beforeAutospacing="1" w:after="0" w:afterAutospacing="1" w:line="360" w:lineRule="auto"/>
              <w:ind w:right="0"/>
              <w:jc w:val="left"/>
              <w:rPr>
                <w:rFonts w:hint="default" w:ascii="Times New Roman" w:hAnsi="Times New Roman" w:cs="Times New Roman"/>
                <w:b/>
                <w:bCs/>
                <w:sz w:val="28"/>
                <w:szCs w:val="28"/>
                <w:vertAlign w:val="baseline"/>
                <w:lang w:val="en-IN"/>
              </w:rPr>
            </w:pPr>
            <w:r>
              <w:rPr>
                <w:rFonts w:hint="default" w:cs="Times New Roman"/>
                <w:b/>
                <w:bCs/>
                <w:sz w:val="28"/>
                <w:szCs w:val="28"/>
                <w:vertAlign w:val="baseline"/>
                <w:lang w:val="en-IN"/>
              </w:rPr>
              <w:t>Item</w:t>
            </w:r>
          </w:p>
        </w:tc>
        <w:tc>
          <w:tcPr>
            <w:tcW w:w="3008" w:type="dxa"/>
          </w:tcPr>
          <w:p w14:paraId="432DCE0B">
            <w:pPr>
              <w:pStyle w:val="9"/>
              <w:keepNext w:val="0"/>
              <w:keepLines w:val="0"/>
              <w:widowControl/>
              <w:suppressLineNumbers w:val="0"/>
              <w:spacing w:before="0" w:beforeAutospacing="1" w:after="0" w:afterAutospacing="1" w:line="360" w:lineRule="auto"/>
              <w:ind w:right="0"/>
              <w:jc w:val="center"/>
              <w:rPr>
                <w:rFonts w:hint="default" w:ascii="Times New Roman" w:hAnsi="Times New Roman" w:cs="Times New Roman"/>
                <w:b/>
                <w:bCs/>
                <w:sz w:val="28"/>
                <w:szCs w:val="28"/>
                <w:vertAlign w:val="baseline"/>
                <w:lang w:val="en-IN"/>
              </w:rPr>
            </w:pPr>
            <w:r>
              <w:rPr>
                <w:rFonts w:hint="default" w:cs="Times New Roman"/>
                <w:b/>
                <w:bCs/>
                <w:sz w:val="28"/>
                <w:szCs w:val="28"/>
                <w:vertAlign w:val="baseline"/>
                <w:lang w:val="en-IN"/>
              </w:rPr>
              <w:t>Estimated Cost (USD)</w:t>
            </w:r>
          </w:p>
        </w:tc>
      </w:tr>
      <w:tr w14:paraId="70B1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4" w:type="dxa"/>
          </w:tcPr>
          <w:p w14:paraId="5039F39D">
            <w:pPr>
              <w:pStyle w:val="9"/>
              <w:keepNext w:val="0"/>
              <w:keepLines w:val="0"/>
              <w:widowControl/>
              <w:suppressLineNumbers w:val="0"/>
              <w:spacing w:before="0" w:beforeAutospacing="1" w:after="0" w:afterAutospacing="1" w:line="360" w:lineRule="auto"/>
              <w:ind w:right="0"/>
              <w:jc w:val="both"/>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Solar PV Panels and Battery</w:t>
            </w:r>
          </w:p>
        </w:tc>
        <w:tc>
          <w:tcPr>
            <w:tcW w:w="3008" w:type="dxa"/>
          </w:tcPr>
          <w:p w14:paraId="6E785672">
            <w:pPr>
              <w:pStyle w:val="9"/>
              <w:keepNext w:val="0"/>
              <w:keepLines w:val="0"/>
              <w:widowControl/>
              <w:suppressLineNumbers w:val="0"/>
              <w:spacing w:before="0" w:beforeAutospacing="1" w:after="0" w:afterAutospacing="1" w:line="360" w:lineRule="auto"/>
              <w:ind w:right="0"/>
              <w:jc w:val="center"/>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$620</w:t>
            </w:r>
          </w:p>
        </w:tc>
      </w:tr>
      <w:tr w14:paraId="78E9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4" w:type="dxa"/>
          </w:tcPr>
          <w:p w14:paraId="572EFE3E">
            <w:pPr>
              <w:pStyle w:val="9"/>
              <w:keepNext w:val="0"/>
              <w:keepLines w:val="0"/>
              <w:widowControl/>
              <w:suppressLineNumbers w:val="0"/>
              <w:spacing w:before="0" w:beforeAutospacing="1" w:after="0" w:afterAutospacing="1" w:line="360" w:lineRule="auto"/>
              <w:ind w:right="0"/>
              <w:jc w:val="both"/>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Hybrid Solar Dryer</w:t>
            </w:r>
          </w:p>
        </w:tc>
        <w:tc>
          <w:tcPr>
            <w:tcW w:w="3008" w:type="dxa"/>
          </w:tcPr>
          <w:p w14:paraId="1B48B0E1">
            <w:pPr>
              <w:pStyle w:val="9"/>
              <w:keepNext w:val="0"/>
              <w:keepLines w:val="0"/>
              <w:widowControl/>
              <w:suppressLineNumbers w:val="0"/>
              <w:spacing w:before="0" w:beforeAutospacing="1" w:after="0" w:afterAutospacing="1" w:line="360" w:lineRule="auto"/>
              <w:ind w:right="0"/>
              <w:jc w:val="center"/>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$380</w:t>
            </w:r>
          </w:p>
        </w:tc>
      </w:tr>
      <w:tr w14:paraId="44C0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4" w:type="dxa"/>
          </w:tcPr>
          <w:p w14:paraId="11288754">
            <w:pPr>
              <w:pStyle w:val="9"/>
              <w:keepNext w:val="0"/>
              <w:keepLines w:val="0"/>
              <w:widowControl/>
              <w:suppressLineNumbers w:val="0"/>
              <w:spacing w:before="0" w:beforeAutospacing="1" w:after="0" w:afterAutospacing="1" w:line="360" w:lineRule="auto"/>
              <w:ind w:right="0"/>
              <w:jc w:val="both"/>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Food Processing Equipments</w:t>
            </w:r>
          </w:p>
        </w:tc>
        <w:tc>
          <w:tcPr>
            <w:tcW w:w="3008" w:type="dxa"/>
          </w:tcPr>
          <w:p w14:paraId="3F01D100">
            <w:pPr>
              <w:pStyle w:val="9"/>
              <w:keepNext w:val="0"/>
              <w:keepLines w:val="0"/>
              <w:widowControl/>
              <w:suppressLineNumbers w:val="0"/>
              <w:spacing w:before="0" w:beforeAutospacing="1" w:after="0" w:afterAutospacing="1" w:line="360" w:lineRule="auto"/>
              <w:ind w:right="0"/>
              <w:jc w:val="center"/>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$250</w:t>
            </w:r>
          </w:p>
        </w:tc>
      </w:tr>
      <w:tr w14:paraId="6E03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4" w:type="dxa"/>
          </w:tcPr>
          <w:p w14:paraId="0E306AA3">
            <w:pPr>
              <w:pStyle w:val="9"/>
              <w:keepNext w:val="0"/>
              <w:keepLines w:val="0"/>
              <w:widowControl/>
              <w:suppressLineNumbers w:val="0"/>
              <w:spacing w:before="0" w:beforeAutospacing="1" w:after="0" w:afterAutospacing="1" w:line="360" w:lineRule="auto"/>
              <w:ind w:right="0"/>
              <w:jc w:val="both"/>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Packaging and Storage Materials</w:t>
            </w:r>
          </w:p>
        </w:tc>
        <w:tc>
          <w:tcPr>
            <w:tcW w:w="3008" w:type="dxa"/>
          </w:tcPr>
          <w:p w14:paraId="51E69E21">
            <w:pPr>
              <w:pStyle w:val="9"/>
              <w:keepNext w:val="0"/>
              <w:keepLines w:val="0"/>
              <w:widowControl/>
              <w:suppressLineNumbers w:val="0"/>
              <w:spacing w:before="0" w:beforeAutospacing="1" w:after="0" w:afterAutospacing="1" w:line="360" w:lineRule="auto"/>
              <w:ind w:right="0"/>
              <w:jc w:val="center"/>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$120</w:t>
            </w:r>
          </w:p>
        </w:tc>
      </w:tr>
      <w:tr w14:paraId="29AE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4" w:type="dxa"/>
          </w:tcPr>
          <w:p w14:paraId="56BE5606">
            <w:pPr>
              <w:pStyle w:val="9"/>
              <w:keepNext w:val="0"/>
              <w:keepLines w:val="0"/>
              <w:widowControl/>
              <w:suppressLineNumbers w:val="0"/>
              <w:spacing w:before="0" w:beforeAutospacing="1" w:after="0" w:afterAutospacing="1" w:line="360" w:lineRule="auto"/>
              <w:ind w:right="0"/>
              <w:jc w:val="both"/>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Community Training and Workshops</w:t>
            </w:r>
          </w:p>
        </w:tc>
        <w:tc>
          <w:tcPr>
            <w:tcW w:w="3008" w:type="dxa"/>
          </w:tcPr>
          <w:p w14:paraId="635ED631">
            <w:pPr>
              <w:pStyle w:val="9"/>
              <w:keepNext w:val="0"/>
              <w:keepLines w:val="0"/>
              <w:widowControl/>
              <w:suppressLineNumbers w:val="0"/>
              <w:spacing w:before="0" w:beforeAutospacing="1" w:after="0" w:afterAutospacing="1" w:line="360" w:lineRule="auto"/>
              <w:ind w:right="0"/>
              <w:jc w:val="center"/>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$140</w:t>
            </w:r>
          </w:p>
        </w:tc>
      </w:tr>
      <w:tr w14:paraId="3EAA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4" w:type="dxa"/>
          </w:tcPr>
          <w:p w14:paraId="2C78C95B">
            <w:pPr>
              <w:pStyle w:val="9"/>
              <w:keepNext w:val="0"/>
              <w:keepLines w:val="0"/>
              <w:widowControl/>
              <w:suppressLineNumbers w:val="0"/>
              <w:spacing w:before="0" w:beforeAutospacing="1" w:after="0" w:afterAutospacing="1" w:line="360" w:lineRule="auto"/>
              <w:ind w:right="0"/>
              <w:jc w:val="both"/>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Installation and Testing</w:t>
            </w:r>
          </w:p>
        </w:tc>
        <w:tc>
          <w:tcPr>
            <w:tcW w:w="3008" w:type="dxa"/>
          </w:tcPr>
          <w:p w14:paraId="5398B798">
            <w:pPr>
              <w:pStyle w:val="9"/>
              <w:keepNext w:val="0"/>
              <w:keepLines w:val="0"/>
              <w:widowControl/>
              <w:suppressLineNumbers w:val="0"/>
              <w:spacing w:before="0" w:beforeAutospacing="1" w:after="0" w:afterAutospacing="1" w:line="360" w:lineRule="auto"/>
              <w:ind w:right="0"/>
              <w:jc w:val="center"/>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$90</w:t>
            </w:r>
          </w:p>
        </w:tc>
      </w:tr>
      <w:tr w14:paraId="274A4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4" w:type="dxa"/>
          </w:tcPr>
          <w:p w14:paraId="59DDA036">
            <w:pPr>
              <w:pStyle w:val="9"/>
              <w:keepNext w:val="0"/>
              <w:keepLines w:val="0"/>
              <w:widowControl/>
              <w:suppressLineNumbers w:val="0"/>
              <w:spacing w:before="0" w:beforeAutospacing="1" w:after="0" w:afterAutospacing="1" w:line="360" w:lineRule="auto"/>
              <w:ind w:right="0"/>
              <w:jc w:val="both"/>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Documentation and Miscellaneous</w:t>
            </w:r>
          </w:p>
        </w:tc>
        <w:tc>
          <w:tcPr>
            <w:tcW w:w="3008" w:type="dxa"/>
          </w:tcPr>
          <w:p w14:paraId="6D60C934">
            <w:pPr>
              <w:pStyle w:val="9"/>
              <w:keepNext w:val="0"/>
              <w:keepLines w:val="0"/>
              <w:widowControl/>
              <w:suppressLineNumbers w:val="0"/>
              <w:spacing w:before="0" w:beforeAutospacing="1" w:after="0" w:afterAutospacing="1" w:line="360" w:lineRule="auto"/>
              <w:ind w:right="0"/>
              <w:jc w:val="center"/>
              <w:rPr>
                <w:rFonts w:hint="default" w:ascii="Times New Roman" w:hAnsi="Times New Roman" w:cs="Times New Roman"/>
                <w:sz w:val="24"/>
                <w:szCs w:val="24"/>
                <w:vertAlign w:val="baseline"/>
                <w:lang w:val="en-IN"/>
              </w:rPr>
            </w:pPr>
            <w:r>
              <w:rPr>
                <w:rFonts w:hint="default" w:cs="Times New Roman"/>
                <w:sz w:val="24"/>
                <w:szCs w:val="24"/>
                <w:vertAlign w:val="baseline"/>
                <w:lang w:val="en-IN"/>
              </w:rPr>
              <w:t>$69</w:t>
            </w:r>
          </w:p>
        </w:tc>
      </w:tr>
      <w:tr w14:paraId="77422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4" w:type="dxa"/>
          </w:tcPr>
          <w:p w14:paraId="15FE9CF3">
            <w:pPr>
              <w:pStyle w:val="9"/>
              <w:keepNext w:val="0"/>
              <w:keepLines w:val="0"/>
              <w:widowControl/>
              <w:suppressLineNumbers w:val="0"/>
              <w:spacing w:before="0" w:beforeAutospacing="1" w:after="0" w:afterAutospacing="1" w:line="360" w:lineRule="auto"/>
              <w:ind w:right="0"/>
              <w:jc w:val="both"/>
              <w:rPr>
                <w:rFonts w:hint="default" w:ascii="Times New Roman" w:hAnsi="Times New Roman" w:cs="Times New Roman"/>
                <w:b/>
                <w:bCs/>
                <w:sz w:val="24"/>
                <w:szCs w:val="24"/>
                <w:vertAlign w:val="baseline"/>
                <w:lang w:val="en-IN"/>
              </w:rPr>
            </w:pPr>
            <w:r>
              <w:rPr>
                <w:rFonts w:hint="default" w:cs="Times New Roman"/>
                <w:b/>
                <w:bCs/>
                <w:sz w:val="24"/>
                <w:szCs w:val="24"/>
                <w:vertAlign w:val="baseline"/>
                <w:lang w:val="en-IN"/>
              </w:rPr>
              <w:t>Total Estimated Budget</w:t>
            </w:r>
          </w:p>
        </w:tc>
        <w:tc>
          <w:tcPr>
            <w:tcW w:w="3008" w:type="dxa"/>
          </w:tcPr>
          <w:p w14:paraId="186657E1">
            <w:pPr>
              <w:pStyle w:val="9"/>
              <w:keepNext w:val="0"/>
              <w:keepLines w:val="0"/>
              <w:widowControl/>
              <w:suppressLineNumbers w:val="0"/>
              <w:spacing w:before="0" w:beforeAutospacing="1" w:after="0" w:afterAutospacing="1" w:line="360" w:lineRule="auto"/>
              <w:ind w:right="0"/>
              <w:jc w:val="center"/>
              <w:rPr>
                <w:rFonts w:hint="default" w:ascii="Times New Roman" w:hAnsi="Times New Roman" w:cs="Times New Roman"/>
                <w:b/>
                <w:bCs/>
                <w:sz w:val="24"/>
                <w:szCs w:val="24"/>
                <w:vertAlign w:val="baseline"/>
                <w:lang w:val="en-IN"/>
              </w:rPr>
            </w:pPr>
            <w:r>
              <w:rPr>
                <w:rFonts w:hint="default" w:cs="Times New Roman"/>
                <w:b/>
                <w:bCs/>
                <w:sz w:val="24"/>
                <w:szCs w:val="24"/>
                <w:vertAlign w:val="baseline"/>
                <w:lang w:val="en-IN"/>
              </w:rPr>
              <w:t>$1,669</w:t>
            </w:r>
          </w:p>
        </w:tc>
      </w:tr>
    </w:tbl>
    <w:p w14:paraId="456B05CD">
      <w:pPr>
        <w:autoSpaceDE w:val="0"/>
        <w:autoSpaceDN w:val="0"/>
        <w:adjustRightInd w:val="0"/>
        <w:spacing w:after="0" w:line="240" w:lineRule="auto"/>
        <w:rPr>
          <w:rFonts w:hint="default" w:ascii="Times New Roman" w:hAnsi="Times New Roman" w:cs="Times New Roman"/>
          <w:b/>
          <w:sz w:val="24"/>
          <w:szCs w:val="24"/>
          <w:lang w:val="en-IN"/>
        </w:rPr>
      </w:pPr>
      <w:r>
        <w:rPr>
          <w:rFonts w:hint="default" w:ascii="Times New Roman" w:hAnsi="Times New Roman" w:cs="Times New Roman"/>
          <w:b/>
          <w:sz w:val="24"/>
          <w:szCs w:val="24"/>
          <w:lang w:val="en-IN"/>
        </w:rPr>
        <w:br w:type="textWrapping"/>
      </w:r>
    </w:p>
    <w:p w14:paraId="293AE6DD">
      <w:pPr>
        <w:autoSpaceDE w:val="0"/>
        <w:autoSpaceDN w:val="0"/>
        <w:adjustRightInd w:val="0"/>
        <w:spacing w:after="0" w:line="240" w:lineRule="auto"/>
        <w:rPr>
          <w:rFonts w:hint="default" w:ascii="Times New Roman" w:hAnsi="Times New Roman" w:cs="Times New Roman"/>
          <w:b/>
          <w:sz w:val="24"/>
          <w:szCs w:val="24"/>
          <w:lang w:val="en-IN"/>
        </w:rPr>
      </w:pPr>
      <w:r>
        <w:rPr>
          <w:rFonts w:hint="default" w:ascii="Times New Roman" w:hAnsi="Times New Roman" w:cs="Times New Roman"/>
          <w:b/>
          <w:sz w:val="28"/>
          <w:szCs w:val="28"/>
          <w:lang w:val="en-IN"/>
        </w:rPr>
        <w:t>Project Duration (6 to 12 months)</w:t>
      </w:r>
    </w:p>
    <w:p w14:paraId="4F4E4905">
      <w:pPr>
        <w:spacing w:line="240" w:lineRule="auto"/>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956"/>
        <w:gridCol w:w="3006"/>
      </w:tblGrid>
      <w:tr w14:paraId="7B2D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6" w:type="dxa"/>
          </w:tcPr>
          <w:p w14:paraId="055841C4">
            <w:pPr>
              <w:spacing w:line="240" w:lineRule="auto"/>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Phase</w:t>
            </w:r>
          </w:p>
        </w:tc>
        <w:tc>
          <w:tcPr>
            <w:tcW w:w="3006" w:type="dxa"/>
          </w:tcPr>
          <w:p w14:paraId="71331671">
            <w:pPr>
              <w:spacing w:line="240" w:lineRule="auto"/>
              <w:jc w:val="center"/>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Duration</w:t>
            </w:r>
          </w:p>
        </w:tc>
      </w:tr>
      <w:tr w14:paraId="6BE0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6" w:type="dxa"/>
          </w:tcPr>
          <w:p w14:paraId="239D38BA">
            <w:pPr>
              <w:spacing w:line="240" w:lineRule="auto"/>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Community Survey and Planning</w:t>
            </w:r>
          </w:p>
        </w:tc>
        <w:tc>
          <w:tcPr>
            <w:tcW w:w="3006" w:type="dxa"/>
          </w:tcPr>
          <w:p w14:paraId="4052ABE0">
            <w:pPr>
              <w:spacing w:line="240" w:lineRule="auto"/>
              <w:jc w:val="center"/>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Month 1</w:t>
            </w:r>
          </w:p>
        </w:tc>
      </w:tr>
      <w:tr w14:paraId="764E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6" w:type="dxa"/>
          </w:tcPr>
          <w:p w14:paraId="68821599">
            <w:pPr>
              <w:spacing w:line="240" w:lineRule="auto"/>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System Design and Procurement</w:t>
            </w:r>
          </w:p>
        </w:tc>
        <w:tc>
          <w:tcPr>
            <w:tcW w:w="3006" w:type="dxa"/>
          </w:tcPr>
          <w:p w14:paraId="3EA59CD6">
            <w:pPr>
              <w:spacing w:line="240" w:lineRule="auto"/>
              <w:jc w:val="center"/>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Month 2</w:t>
            </w:r>
          </w:p>
        </w:tc>
      </w:tr>
      <w:tr w14:paraId="2A40F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6" w:type="dxa"/>
          </w:tcPr>
          <w:p w14:paraId="6F43D572">
            <w:pPr>
              <w:spacing w:line="240" w:lineRule="auto"/>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Fabrication and Installation</w:t>
            </w:r>
          </w:p>
        </w:tc>
        <w:tc>
          <w:tcPr>
            <w:tcW w:w="3006" w:type="dxa"/>
          </w:tcPr>
          <w:p w14:paraId="270CA3D0">
            <w:pPr>
              <w:spacing w:line="240" w:lineRule="auto"/>
              <w:jc w:val="center"/>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Month 3-4</w:t>
            </w:r>
          </w:p>
        </w:tc>
      </w:tr>
      <w:tr w14:paraId="029D5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6" w:type="dxa"/>
          </w:tcPr>
          <w:p w14:paraId="6FDB1367">
            <w:pPr>
              <w:spacing w:line="240" w:lineRule="auto"/>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Pilot Processing and Testing</w:t>
            </w:r>
          </w:p>
        </w:tc>
        <w:tc>
          <w:tcPr>
            <w:tcW w:w="3006" w:type="dxa"/>
          </w:tcPr>
          <w:p w14:paraId="129919EA">
            <w:pPr>
              <w:spacing w:line="240" w:lineRule="auto"/>
              <w:jc w:val="center"/>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Month 5</w:t>
            </w:r>
          </w:p>
        </w:tc>
      </w:tr>
      <w:tr w14:paraId="132D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6" w:type="dxa"/>
          </w:tcPr>
          <w:p w14:paraId="4D9801D9">
            <w:pPr>
              <w:spacing w:line="240" w:lineRule="auto"/>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Community Training Programs</w:t>
            </w:r>
          </w:p>
        </w:tc>
        <w:tc>
          <w:tcPr>
            <w:tcW w:w="3006" w:type="dxa"/>
          </w:tcPr>
          <w:p w14:paraId="0ECA5E47">
            <w:pPr>
              <w:spacing w:line="240" w:lineRule="auto"/>
              <w:jc w:val="center"/>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Month 6</w:t>
            </w:r>
          </w:p>
        </w:tc>
      </w:tr>
      <w:tr w14:paraId="7DDD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6" w:type="dxa"/>
          </w:tcPr>
          <w:p w14:paraId="0C8C1E72">
            <w:pPr>
              <w:spacing w:line="240" w:lineRule="auto"/>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Product Lauch and Market Validation</w:t>
            </w:r>
          </w:p>
        </w:tc>
        <w:tc>
          <w:tcPr>
            <w:tcW w:w="3006" w:type="dxa"/>
          </w:tcPr>
          <w:p w14:paraId="131E9FF3">
            <w:pPr>
              <w:spacing w:line="240" w:lineRule="auto"/>
              <w:jc w:val="center"/>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Month 7</w:t>
            </w:r>
          </w:p>
        </w:tc>
      </w:tr>
      <w:tr w14:paraId="3DCF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56" w:type="dxa"/>
          </w:tcPr>
          <w:p w14:paraId="1454E9D5">
            <w:pPr>
              <w:spacing w:line="240" w:lineRule="auto"/>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Performance Evaluation and Documentation</w:t>
            </w:r>
          </w:p>
        </w:tc>
        <w:tc>
          <w:tcPr>
            <w:tcW w:w="3006" w:type="dxa"/>
          </w:tcPr>
          <w:p w14:paraId="21D3DEBF">
            <w:pPr>
              <w:spacing w:line="240" w:lineRule="auto"/>
              <w:jc w:val="center"/>
              <w:rPr>
                <w:rFonts w:hint="default" w:ascii="Times New Roman" w:hAnsi="Times New Roman" w:cs="Times New Roman"/>
                <w:sz w:val="24"/>
                <w:szCs w:val="24"/>
                <w:vertAlign w:val="baseline"/>
                <w:lang w:val="en-IN"/>
              </w:rPr>
            </w:pPr>
            <w:r>
              <w:rPr>
                <w:rFonts w:hint="default" w:ascii="Times New Roman" w:hAnsi="Times New Roman" w:cs="Times New Roman"/>
                <w:sz w:val="24"/>
                <w:szCs w:val="24"/>
                <w:vertAlign w:val="baseline"/>
                <w:lang w:val="en-IN"/>
              </w:rPr>
              <w:t>Month 8</w:t>
            </w:r>
          </w:p>
        </w:tc>
      </w:tr>
    </w:tbl>
    <w:p w14:paraId="5FD71DA9">
      <w:pPr>
        <w:spacing w:line="240" w:lineRule="auto"/>
        <w:rPr>
          <w:rFonts w:hint="default" w:ascii="Times New Roman" w:hAnsi="Times New Roman" w:cs="Times New Roman"/>
          <w:sz w:val="24"/>
          <w:szCs w:val="24"/>
        </w:rPr>
      </w:pPr>
    </w:p>
    <w:sectPr>
      <w:headerReference r:id="rId6" w:type="first"/>
      <w:footerReference r:id="rId8" w:type="first"/>
      <w:headerReference r:id="rId5" w:type="even"/>
      <w:footerReference r:id="rId7" w:type="even"/>
      <w:pgSz w:w="11906" w:h="16838"/>
      <w:pgMar w:top="1440" w:right="1080" w:bottom="1440" w:left="108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36077">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525AE">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DD4CC">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7FAA8">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995067"/>
    <w:multiLevelType w:val="multilevel"/>
    <w:tmpl w:val="2E995067"/>
    <w:lvl w:ilvl="0" w:tentative="0">
      <w:start w:val="14"/>
      <w:numFmt w:val="bullet"/>
      <w:lvlText w:val=""/>
      <w:lvlJc w:val="left"/>
      <w:pPr>
        <w:ind w:left="720" w:hanging="360"/>
      </w:pPr>
      <w:rPr>
        <w:rFonts w:hint="default" w:ascii="Symbol" w:hAnsi="Symbol"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5355B34"/>
    <w:multiLevelType w:val="multilevel"/>
    <w:tmpl w:val="35355B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C19D735"/>
    <w:multiLevelType w:val="multilevel"/>
    <w:tmpl w:val="3C19D7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4"/>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E74"/>
    <w:rsid w:val="00077621"/>
    <w:rsid w:val="000B270E"/>
    <w:rsid w:val="00252678"/>
    <w:rsid w:val="002B5047"/>
    <w:rsid w:val="002D014C"/>
    <w:rsid w:val="00330C4C"/>
    <w:rsid w:val="003814AB"/>
    <w:rsid w:val="003D5A7A"/>
    <w:rsid w:val="003F7CEE"/>
    <w:rsid w:val="00486619"/>
    <w:rsid w:val="00511EAD"/>
    <w:rsid w:val="005905AB"/>
    <w:rsid w:val="005E2E74"/>
    <w:rsid w:val="006C28B3"/>
    <w:rsid w:val="00765B4C"/>
    <w:rsid w:val="00796BA5"/>
    <w:rsid w:val="008E3939"/>
    <w:rsid w:val="0095330A"/>
    <w:rsid w:val="00A35B06"/>
    <w:rsid w:val="00AA3ACB"/>
    <w:rsid w:val="00AC4743"/>
    <w:rsid w:val="00AF2A26"/>
    <w:rsid w:val="00B8121D"/>
    <w:rsid w:val="00B95D84"/>
    <w:rsid w:val="00BC12D5"/>
    <w:rsid w:val="00CF3373"/>
    <w:rsid w:val="00D154FD"/>
    <w:rsid w:val="00D21435"/>
    <w:rsid w:val="00D8587B"/>
    <w:rsid w:val="00E050DD"/>
    <w:rsid w:val="00E26F48"/>
    <w:rsid w:val="00E47975"/>
    <w:rsid w:val="00E95447"/>
    <w:rsid w:val="00EB26AD"/>
    <w:rsid w:val="00F43287"/>
    <w:rsid w:val="00F615BB"/>
    <w:rsid w:val="00F6720F"/>
    <w:rsid w:val="00F73104"/>
    <w:rsid w:val="34D877D6"/>
    <w:rsid w:val="4F394EE6"/>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3"/>
    <w:unhideWhenUsed/>
    <w:uiPriority w:val="99"/>
    <w:pPr>
      <w:tabs>
        <w:tab w:val="center" w:pos="4536"/>
        <w:tab w:val="right" w:pos="9072"/>
      </w:tabs>
      <w:spacing w:after="0" w:line="240" w:lineRule="auto"/>
    </w:pPr>
  </w:style>
  <w:style w:type="paragraph" w:styleId="7">
    <w:name w:val="header"/>
    <w:basedOn w:val="1"/>
    <w:link w:val="12"/>
    <w:unhideWhenUsed/>
    <w:qFormat/>
    <w:uiPriority w:val="99"/>
    <w:pPr>
      <w:tabs>
        <w:tab w:val="center" w:pos="4536"/>
        <w:tab w:val="right" w:pos="9072"/>
      </w:tabs>
      <w:spacing w:after="0" w:line="240" w:lineRule="auto"/>
    </w:pPr>
  </w:style>
  <w:style w:type="character" w:styleId="8">
    <w:name w:val="Hyperlink"/>
    <w:basedOn w:val="3"/>
    <w:unhideWhenUsed/>
    <w:qFormat/>
    <w:uiPriority w:val="99"/>
    <w:rPr>
      <w:color w:val="0563C1" w:themeColor="hyperlink"/>
      <w:u w:val="single"/>
      <w14:textFill>
        <w14:solidFill>
          <w14:schemeClr w14:val="hlink"/>
        </w14:solidFill>
      </w14:textFill>
    </w:r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22"/>
    <w:rPr>
      <w:b/>
      <w:bCs/>
    </w:rPr>
  </w:style>
  <w:style w:type="table" w:styleId="11">
    <w:name w:val="Table Grid"/>
    <w:basedOn w:val="4"/>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Header Char"/>
    <w:basedOn w:val="3"/>
    <w:link w:val="7"/>
    <w:qFormat/>
    <w:uiPriority w:val="99"/>
  </w:style>
  <w:style w:type="character" w:customStyle="1" w:styleId="13">
    <w:name w:val="Footer Char"/>
    <w:basedOn w:val="3"/>
    <w:link w:val="6"/>
    <w:qFormat/>
    <w:uiPriority w:val="99"/>
  </w:style>
  <w:style w:type="character" w:customStyle="1" w:styleId="14">
    <w:name w:val="Unresolved Mention"/>
    <w:basedOn w:val="3"/>
    <w:semiHidden/>
    <w:unhideWhenUsed/>
    <w:qFormat/>
    <w:uiPriority w:val="99"/>
    <w:rPr>
      <w:color w:val="605E5C"/>
      <w:shd w:val="clear" w:color="auto" w:fill="E1DFDD"/>
    </w:rPr>
  </w:style>
  <w:style w:type="character" w:customStyle="1" w:styleId="15">
    <w:name w:val="Heading 1 Char"/>
    <w:basedOn w:val="3"/>
    <w:link w:val="2"/>
    <w:qFormat/>
    <w:uiPriority w:val="9"/>
    <w:rPr>
      <w:rFonts w:asciiTheme="majorHAnsi" w:hAnsiTheme="majorHAnsi" w:eastAsiaTheme="majorEastAsia" w:cstheme="majorBidi"/>
      <w:color w:val="2E75B6" w:themeColor="accent1" w:themeShade="BF"/>
      <w:sz w:val="32"/>
      <w:szCs w:val="32"/>
    </w:r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297E6-8208-4561-A414-76693FC923AC}">
  <ds:schemaRefs/>
</ds:datastoreItem>
</file>

<file path=docProps/app.xml><?xml version="1.0" encoding="utf-8"?>
<Properties xmlns="http://schemas.openxmlformats.org/officeDocument/2006/extended-properties" xmlns:vt="http://schemas.openxmlformats.org/officeDocument/2006/docPropsVTypes">
  <Template>Normal</Template>
  <Pages>3</Pages>
  <Words>461</Words>
  <Characters>2631</Characters>
  <Lines>21</Lines>
  <Paragraphs>6</Paragraphs>
  <TotalTime>19</TotalTime>
  <ScaleCrop>false</ScaleCrop>
  <LinksUpToDate>false</LinksUpToDate>
  <CharactersWithSpaces>3086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2024-12-16T16:15:00Z</dcterms:created>
  <dc:creator>asecer</dc:creator>
  <cp:lastModifiedBy>BALAJI P</cp:lastModifiedBy>
  <cp:lastPrinted>2024-12-17T03:32:00Z</cp:lastPrinted>
  <dcterms:modified xsi:type="dcterms:W3CDTF">2026-07-16T13:49:51Z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3293A56C59F4442991EB4707B858092A_12</vt:lpwstr>
  </property>
</Properties>
</file>