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220.5.6.54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255.255.255.0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13.4.6.0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255.0.0.0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196.8.5.0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255.255.255.0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201.5.6.0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222222"/>
          <w:highlight w:val="white"/>
          <w:rtl w:val="0"/>
        </w:rPr>
        <w:t xml:space="preserve"> 255.255.255.0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125.11.1.0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255.0.0.0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10.3.2.0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255.0.0.0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172.168.1.0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255.255.0.0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192.12.8.0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255.255.255.0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226.4.6.128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IPv4 Address</w:t>
      </w:r>
      <w:r w:rsidDel="00000000" w:rsidR="00000000" w:rsidRPr="00000000">
        <w:rPr>
          <w:rtl w:val="0"/>
        </w:rPr>
        <w:t xml:space="preserve">: 2.53.63.0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Default 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255.0.0.0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