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18111"/>
      <w:bookmarkStart w:id="3" w:name="_Toc32333"/>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9427"/>
      <w:bookmarkStart w:id="5" w:name="_Toc1330"/>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9998"/>
      <w:bookmarkStart w:id="7" w:name="_Toc1704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0181"/>
      <w:bookmarkStart w:id="9" w:name="_Toc28867"/>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16730"/>
      <w:bookmarkStart w:id="11" w:name="_Toc24057"/>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3201"/>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217"/>
      <w:bookmarkStart w:id="15" w:name="_Toc13030"/>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6942"/>
      <w:bookmarkStart w:id="17" w:name="_Toc10397"/>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US"/>
        </w:rPr>
      </w:pPr>
      <w:bookmarkStart w:id="56" w:name="_GoBack"/>
      <w:bookmarkEnd w:id="56"/>
    </w:p>
    <w:p>
      <w:pPr>
        <w:pStyle w:val="5"/>
        <w:bidi w:val="0"/>
        <w:rPr>
          <w:rFonts w:hint="default"/>
          <w:lang w:val="en-US"/>
        </w:rPr>
      </w:pPr>
      <w:bookmarkStart w:id="21" w:name="_Toc4840"/>
      <w:r>
        <w:rPr>
          <w:rFonts w:hint="default"/>
          <w:lang w:val="en-US"/>
        </w:rPr>
        <w:t>Abstract Factory</w:t>
      </w:r>
      <w:bookmarkEnd w:id="21"/>
    </w:p>
    <w:p>
      <w:pPr>
        <w:pStyle w:val="5"/>
        <w:bidi w:val="0"/>
        <w:rPr>
          <w:rFonts w:hint="default"/>
          <w:lang w:val="en-US"/>
        </w:rPr>
      </w:pPr>
      <w:bookmarkStart w:id="22" w:name="_Toc20163"/>
      <w:r>
        <w:rPr>
          <w:rFonts w:hint="default"/>
          <w:lang w:val="en-US"/>
        </w:rPr>
        <w:t>Builder</w:t>
      </w:r>
      <w:bookmarkEnd w:id="22"/>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3" w:name="_Toc28458"/>
      <w:r>
        <w:rPr>
          <w:rFonts w:hint="default"/>
          <w:lang w:val="en-US"/>
        </w:rPr>
        <w:t>Prototype</w:t>
      </w:r>
      <w:bookmarkEnd w:id="23"/>
    </w:p>
    <w:p>
      <w:pPr>
        <w:pStyle w:val="5"/>
        <w:bidi w:val="0"/>
        <w:rPr>
          <w:rFonts w:hint="default"/>
          <w:lang w:val="en-US"/>
        </w:rPr>
      </w:pPr>
      <w:bookmarkStart w:id="24" w:name="_Toc12477"/>
      <w:r>
        <w:rPr>
          <w:rFonts w:hint="default"/>
          <w:lang w:val="en-US"/>
        </w:rPr>
        <w:t>Singleton</w:t>
      </w:r>
      <w:bookmarkEnd w:id="24"/>
    </w:p>
    <w:p>
      <w:pPr>
        <w:pStyle w:val="4"/>
        <w:bidi w:val="0"/>
        <w:rPr>
          <w:rFonts w:hint="default"/>
          <w:lang w:val="en-US"/>
        </w:rPr>
      </w:pPr>
      <w:bookmarkStart w:id="25" w:name="_Toc11312"/>
      <w:bookmarkStart w:id="26" w:name="_Toc2652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7647"/>
      <w:bookmarkStart w:id="35" w:name="_Toc31456"/>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24633"/>
      <w:bookmarkStart w:id="51" w:name="_Toc30107"/>
      <w:r>
        <w:rPr>
          <w:rFonts w:hint="default"/>
          <w:lang w:val="en-US"/>
        </w:rPr>
        <w:t>Docker</w:t>
      </w:r>
      <w:bookmarkEnd w:id="50"/>
      <w:bookmarkEnd w:id="51"/>
    </w:p>
    <w:p>
      <w:pPr>
        <w:pStyle w:val="3"/>
        <w:bidi w:val="0"/>
        <w:rPr>
          <w:rFonts w:hint="default"/>
          <w:lang w:val="en-US"/>
        </w:rPr>
      </w:pPr>
      <w:bookmarkStart w:id="52" w:name="_Toc27892"/>
      <w:bookmarkStart w:id="53" w:name="_Toc23660"/>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5CD5D6D"/>
    <w:rsid w:val="06212BFD"/>
    <w:rsid w:val="08A3063C"/>
    <w:rsid w:val="0AE55546"/>
    <w:rsid w:val="0D2D6C22"/>
    <w:rsid w:val="0FCD5C3B"/>
    <w:rsid w:val="11800568"/>
    <w:rsid w:val="141C4333"/>
    <w:rsid w:val="170F44C1"/>
    <w:rsid w:val="1B8132E9"/>
    <w:rsid w:val="1BAF0DDA"/>
    <w:rsid w:val="1CFF6734"/>
    <w:rsid w:val="1E3D0A28"/>
    <w:rsid w:val="23D8556C"/>
    <w:rsid w:val="269A0974"/>
    <w:rsid w:val="26AE4B2D"/>
    <w:rsid w:val="28E66481"/>
    <w:rsid w:val="2BDE23BD"/>
    <w:rsid w:val="2EB65D5C"/>
    <w:rsid w:val="30314AD7"/>
    <w:rsid w:val="343C3FA8"/>
    <w:rsid w:val="35AA3DF8"/>
    <w:rsid w:val="37EA7D6B"/>
    <w:rsid w:val="3ACC665A"/>
    <w:rsid w:val="3DBB5741"/>
    <w:rsid w:val="3E947539"/>
    <w:rsid w:val="42180A7B"/>
    <w:rsid w:val="430D3E24"/>
    <w:rsid w:val="43B1076D"/>
    <w:rsid w:val="44D95A27"/>
    <w:rsid w:val="48671159"/>
    <w:rsid w:val="4A8F4110"/>
    <w:rsid w:val="4CD66FBC"/>
    <w:rsid w:val="4E6F61BB"/>
    <w:rsid w:val="4E9F13AD"/>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6E836265"/>
    <w:rsid w:val="73571880"/>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2023-12-02T13:43:32Z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