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420" w:rsidRDefault="00706718">
      <w:r>
        <w:t xml:space="preserve">LITERATURE SURVEY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703420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right="0"/>
              <w:jc w:val="left"/>
            </w:pPr>
            <w:r>
              <w:rPr>
                <w:b w:val="0"/>
                <w:sz w:val="22"/>
              </w:rPr>
              <w:t>18 November</w:t>
            </w:r>
            <w:r>
              <w:rPr>
                <w:b w:val="0"/>
                <w:sz w:val="22"/>
              </w:rPr>
              <w:t xml:space="preserve"> 2022 </w:t>
            </w:r>
          </w:p>
        </w:tc>
      </w:tr>
      <w:tr w:rsidR="00703420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right="0"/>
              <w:jc w:val="left"/>
            </w:pPr>
            <w:r>
              <w:rPr>
                <w:b w:val="0"/>
                <w:sz w:val="22"/>
              </w:rPr>
              <w:t>PNT2022TMID47137</w:t>
            </w:r>
            <w:bookmarkStart w:id="0" w:name="_GoBack"/>
            <w:bookmarkEnd w:id="0"/>
          </w:p>
        </w:tc>
      </w:tr>
      <w:tr w:rsidR="00703420">
        <w:trPr>
          <w:trHeight w:val="547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Natural Disaster Intensity Analysis and Classification using Artificial Intelligence </w:t>
            </w:r>
          </w:p>
        </w:tc>
      </w:tr>
      <w:tr w:rsidR="00703420">
        <w:trPr>
          <w:trHeight w:val="28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2 Marks </w:t>
            </w:r>
          </w:p>
        </w:tc>
      </w:tr>
    </w:tbl>
    <w:p w:rsidR="00703420" w:rsidRDefault="00706718">
      <w:pPr>
        <w:ind w:right="0"/>
        <w:jc w:val="left"/>
      </w:pPr>
      <w:r>
        <w:rPr>
          <w:b w:val="0"/>
          <w:sz w:val="22"/>
        </w:rPr>
        <w:t xml:space="preserve"> </w:t>
      </w:r>
    </w:p>
    <w:tbl>
      <w:tblPr>
        <w:tblStyle w:val="TableGrid"/>
        <w:tblW w:w="9628" w:type="dxa"/>
        <w:tblInd w:w="5" w:type="dxa"/>
        <w:tblCellMar>
          <w:top w:w="48" w:type="dxa"/>
          <w:left w:w="106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631"/>
        <w:gridCol w:w="1976"/>
        <w:gridCol w:w="1080"/>
        <w:gridCol w:w="2789"/>
        <w:gridCol w:w="3152"/>
      </w:tblGrid>
      <w:tr w:rsidR="00703420">
        <w:trPr>
          <w:trHeight w:val="54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left="2" w:right="0"/>
              <w:jc w:val="left"/>
            </w:pPr>
            <w:proofErr w:type="spellStart"/>
            <w:r>
              <w:rPr>
                <w:b w:val="0"/>
                <w:sz w:val="22"/>
              </w:rPr>
              <w:t>S.No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TITLE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PUBLISH ED YEAR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OBJECTIVE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METHODOLOGY </w:t>
            </w:r>
          </w:p>
        </w:tc>
      </w:tr>
      <w:tr w:rsidR="00703420">
        <w:trPr>
          <w:trHeight w:val="189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1.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spacing w:line="240" w:lineRule="auto"/>
              <w:ind w:left="2" w:right="0"/>
              <w:jc w:val="left"/>
            </w:pPr>
            <w:r>
              <w:rPr>
                <w:b w:val="0"/>
                <w:sz w:val="22"/>
              </w:rPr>
              <w:t xml:space="preserve">Quantifying change after natural disasters to estimate </w:t>
            </w:r>
          </w:p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infrastructure damage with mobile phone data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2018 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right="14"/>
              <w:jc w:val="left"/>
            </w:pPr>
            <w:r>
              <w:rPr>
                <w:b w:val="0"/>
                <w:sz w:val="22"/>
              </w:rPr>
              <w:t>Indicates how mobility patterns change during post disaster time frame, is crucial in order to settle rescue centers and send help to the most</w:t>
            </w:r>
            <w:r>
              <w:rPr>
                <w:b w:val="0"/>
                <w:sz w:val="22"/>
              </w:rPr>
              <w:t xml:space="preserve"> affected areas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left="2" w:right="0"/>
              <w:jc w:val="both"/>
            </w:pPr>
            <w:r>
              <w:rPr>
                <w:b w:val="0"/>
                <w:sz w:val="22"/>
              </w:rPr>
              <w:t xml:space="preserve">Describes the approach used to work with aggregated CDR data </w:t>
            </w:r>
          </w:p>
        </w:tc>
      </w:tr>
      <w:tr w:rsidR="00703420">
        <w:trPr>
          <w:trHeight w:val="1889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2.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spacing w:after="1" w:line="239" w:lineRule="auto"/>
              <w:ind w:left="2" w:right="0"/>
              <w:jc w:val="left"/>
            </w:pPr>
            <w:r>
              <w:rPr>
                <w:b w:val="0"/>
                <w:sz w:val="22"/>
              </w:rPr>
              <w:t xml:space="preserve">Degree of network damage: A measurement for intensity of </w:t>
            </w:r>
          </w:p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network damage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2014 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spacing w:after="1" w:line="238" w:lineRule="auto"/>
              <w:ind w:right="0"/>
              <w:jc w:val="left"/>
            </w:pPr>
            <w:r>
              <w:rPr>
                <w:b w:val="0"/>
                <w:sz w:val="22"/>
              </w:rPr>
              <w:t xml:space="preserve">To define degree of network damage (DND), a measurement used to </w:t>
            </w:r>
          </w:p>
          <w:p w:rsidR="00703420" w:rsidRDefault="00706718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classify the effect of a destructive event on network infrastructures, human, and traffic flows 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>A five-scale degree of network damage is developed to indicate the impact of disaster events on networks. We combine two network metrics to determine the degr</w:t>
            </w:r>
            <w:r>
              <w:rPr>
                <w:b w:val="0"/>
                <w:sz w:val="22"/>
              </w:rPr>
              <w:t xml:space="preserve">ee of network damage from the perspective of an ISP. </w:t>
            </w:r>
          </w:p>
        </w:tc>
      </w:tr>
      <w:tr w:rsidR="00703420">
        <w:trPr>
          <w:trHeight w:val="324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3.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spacing w:line="239" w:lineRule="auto"/>
              <w:ind w:left="2" w:right="0"/>
              <w:jc w:val="left"/>
            </w:pPr>
            <w:r>
              <w:rPr>
                <w:b w:val="0"/>
                <w:color w:val="212121"/>
                <w:sz w:val="22"/>
              </w:rPr>
              <w:t xml:space="preserve">Natural Disasters Intensity Analysis and Classification </w:t>
            </w:r>
          </w:p>
          <w:p w:rsidR="00703420" w:rsidRDefault="00706718">
            <w:pPr>
              <w:ind w:left="2" w:right="0"/>
              <w:jc w:val="left"/>
            </w:pPr>
            <w:r>
              <w:rPr>
                <w:b w:val="0"/>
                <w:color w:val="212121"/>
                <w:sz w:val="22"/>
              </w:rPr>
              <w:t xml:space="preserve">Based on </w:t>
            </w:r>
          </w:p>
          <w:p w:rsidR="00703420" w:rsidRDefault="00706718">
            <w:pPr>
              <w:ind w:left="2" w:right="0"/>
              <w:jc w:val="left"/>
            </w:pPr>
            <w:r>
              <w:rPr>
                <w:b w:val="0"/>
                <w:color w:val="212121"/>
                <w:sz w:val="22"/>
              </w:rPr>
              <w:t xml:space="preserve">Multispectral </w:t>
            </w:r>
          </w:p>
          <w:p w:rsidR="00703420" w:rsidRDefault="00706718">
            <w:pPr>
              <w:ind w:left="2" w:right="0"/>
              <w:jc w:val="left"/>
            </w:pPr>
            <w:r>
              <w:rPr>
                <w:b w:val="0"/>
                <w:color w:val="212121"/>
                <w:sz w:val="22"/>
              </w:rPr>
              <w:t xml:space="preserve">Images Using </w:t>
            </w:r>
          </w:p>
          <w:p w:rsidR="00703420" w:rsidRDefault="00706718">
            <w:pPr>
              <w:ind w:left="2" w:right="0"/>
              <w:jc w:val="left"/>
            </w:pPr>
            <w:r>
              <w:rPr>
                <w:b w:val="0"/>
                <w:color w:val="212121"/>
                <w:sz w:val="22"/>
              </w:rPr>
              <w:t xml:space="preserve">Multi-Layered </w:t>
            </w:r>
          </w:p>
          <w:p w:rsidR="00703420" w:rsidRDefault="00706718">
            <w:pPr>
              <w:ind w:left="2" w:right="0"/>
              <w:jc w:val="left"/>
            </w:pPr>
            <w:r>
              <w:rPr>
                <w:b w:val="0"/>
                <w:color w:val="212121"/>
                <w:sz w:val="22"/>
              </w:rPr>
              <w:t xml:space="preserve">Deep </w:t>
            </w:r>
          </w:p>
          <w:p w:rsidR="00703420" w:rsidRDefault="00706718">
            <w:pPr>
              <w:ind w:left="2" w:right="0"/>
              <w:jc w:val="left"/>
            </w:pPr>
            <w:r>
              <w:rPr>
                <w:b w:val="0"/>
                <w:color w:val="212121"/>
                <w:sz w:val="22"/>
              </w:rPr>
              <w:t xml:space="preserve">Convolutional </w:t>
            </w:r>
          </w:p>
          <w:p w:rsidR="00703420" w:rsidRDefault="00706718">
            <w:pPr>
              <w:spacing w:after="259"/>
              <w:ind w:left="2" w:right="0"/>
              <w:jc w:val="left"/>
            </w:pPr>
            <w:r>
              <w:rPr>
                <w:b w:val="0"/>
                <w:color w:val="212121"/>
                <w:sz w:val="22"/>
              </w:rPr>
              <w:t xml:space="preserve">Neural Network </w:t>
            </w:r>
          </w:p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2021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right="0"/>
              <w:jc w:val="left"/>
            </w:pPr>
            <w:r>
              <w:rPr>
                <w:b w:val="0"/>
                <w:color w:val="212121"/>
                <w:sz w:val="22"/>
              </w:rPr>
              <w:t>To build a multilayered deep convolutional neural network that detects the occurrence of disasters and classifies natural disaster intensity.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left="2" w:right="0"/>
              <w:jc w:val="left"/>
            </w:pPr>
            <w:r>
              <w:rPr>
                <w:b w:val="0"/>
                <w:color w:val="212121"/>
                <w:sz w:val="22"/>
              </w:rPr>
              <w:t>The proposed model works in two blocks: Block-I CNN, for detection and occurrence of disasters, and Block-II CNN,</w:t>
            </w:r>
            <w:r>
              <w:rPr>
                <w:b w:val="0"/>
                <w:color w:val="212121"/>
                <w:sz w:val="22"/>
              </w:rPr>
              <w:t xml:space="preserve"> for classification of natural disaster intensity types with different filters and parameters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703420">
        <w:trPr>
          <w:trHeight w:val="162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4. 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Urban Damage </w:t>
            </w:r>
          </w:p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Detection Using </w:t>
            </w:r>
          </w:p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Decorrelation of </w:t>
            </w:r>
          </w:p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SAR </w:t>
            </w:r>
          </w:p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Interferometric </w:t>
            </w:r>
          </w:p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Data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2002 </w:t>
            </w:r>
          </w:p>
          <w:p w:rsidR="00703420" w:rsidRDefault="00706718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IEEE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It indicates a fact that the building damage causes the interferometric decorrelation. 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It can be detected using interferometric decorrelation of ERS and JERS-1 SAR data. </w:t>
            </w:r>
          </w:p>
        </w:tc>
      </w:tr>
      <w:tr w:rsidR="00703420">
        <w:trPr>
          <w:trHeight w:val="135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lastRenderedPageBreak/>
              <w:t xml:space="preserve">5.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Tropical Cyclone </w:t>
            </w:r>
          </w:p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Intensity </w:t>
            </w:r>
          </w:p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Estimation Using </w:t>
            </w:r>
          </w:p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Multidimensional </w:t>
            </w:r>
          </w:p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Convolutional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2021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Tropical Cyclone Intensity </w:t>
            </w:r>
          </w:p>
          <w:p w:rsidR="00703420" w:rsidRDefault="00706718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Estimation Using </w:t>
            </w:r>
          </w:p>
          <w:p w:rsidR="00703420" w:rsidRDefault="00706718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Multidimensional </w:t>
            </w:r>
          </w:p>
          <w:p w:rsidR="00703420" w:rsidRDefault="00706718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Convolutional Neural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Accurate estimation of TC intensity is important to theoretical research studies and practical applications when compared to models like CNN. </w:t>
            </w:r>
          </w:p>
        </w:tc>
      </w:tr>
      <w:tr w:rsidR="00703420">
        <w:trPr>
          <w:trHeight w:val="816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3420">
            <w:pPr>
              <w:spacing w:after="160"/>
              <w:ind w:right="0"/>
              <w:jc w:val="left"/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Neural Network </w:t>
            </w:r>
          </w:p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From Multichannel </w:t>
            </w:r>
          </w:p>
          <w:p w:rsidR="00703420" w:rsidRDefault="00706718">
            <w:pPr>
              <w:ind w:left="2" w:right="0"/>
              <w:jc w:val="left"/>
            </w:pPr>
            <w:r>
              <w:rPr>
                <w:b w:val="0"/>
                <w:sz w:val="22"/>
              </w:rPr>
              <w:t xml:space="preserve">Satellite Imagery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3420">
            <w:pPr>
              <w:spacing w:after="160"/>
              <w:ind w:right="0"/>
              <w:jc w:val="left"/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6718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Network From Multichannel Satellite Imagery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20" w:rsidRDefault="00703420">
            <w:pPr>
              <w:spacing w:after="160"/>
              <w:ind w:right="0"/>
              <w:jc w:val="left"/>
            </w:pPr>
          </w:p>
        </w:tc>
      </w:tr>
    </w:tbl>
    <w:p w:rsidR="00703420" w:rsidRDefault="00706718">
      <w:pPr>
        <w:ind w:right="0"/>
        <w:jc w:val="both"/>
      </w:pPr>
      <w:r>
        <w:rPr>
          <w:b w:val="0"/>
          <w:sz w:val="22"/>
        </w:rPr>
        <w:t xml:space="preserve"> </w:t>
      </w:r>
    </w:p>
    <w:sectPr w:rsidR="0070342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20"/>
    <w:rsid w:val="00703420"/>
    <w:rsid w:val="0070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03F8"/>
  <w15:docId w15:val="{F709964F-802A-4E08-A590-9DD3DB9C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3479"/>
      <w:jc w:val="right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</dc:creator>
  <cp:keywords/>
  <cp:lastModifiedBy>SWATHY</cp:lastModifiedBy>
  <cp:revision>2</cp:revision>
  <dcterms:created xsi:type="dcterms:W3CDTF">2022-11-18T05:25:00Z</dcterms:created>
  <dcterms:modified xsi:type="dcterms:W3CDTF">2022-11-18T05:25:00Z</dcterms:modified>
</cp:coreProperties>
</file>