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E"/>
          <w:sz w:val="44"/>
        </w:rPr>
        <w:t>Live ↔ Backtest Comparison Report</w:t>
      </w:r>
    </w:p>
    <w:p>
      <w:pPr>
        <w:jc w:val="center"/>
      </w:pPr>
      <w:r>
        <w:rPr>
          <w:i/>
          <w:color w:val="666666"/>
          <w:sz w:val="22"/>
        </w:rPr>
        <w:t>Trading day: Monday, 2026-05-04  ·  ETF-only universe  ·  Custom adaptive preset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before="160" w:after="160"/>
      </w:pPr>
      <w:r>
        <w:rPr>
          <w:b/>
          <w:color w:val="1F3A6E"/>
          <w:sz w:val="40"/>
        </w:rPr>
        <w:t>1.  Executive Summary</w:t>
      </w:r>
    </w:p>
    <w:p>
      <w:pPr>
        <w:spacing w:after="160"/>
      </w:pPr>
      <w:r>
        <w:rPr>
          <w:b w:val="0"/>
          <w:i w:val="0"/>
          <w:sz w:val="22"/>
        </w:rPr>
        <w:t>Today the live agent ran 101 distinct cycle minutes across 9 ETF tickers, evaluated ~62,000 candidate spreads via the adaptive grid, submitted 17 multi-leg credit-spread orders, and currently holds 2 open Iron Condors (DIA + GLD). The dominant rejection reason was the Credit/Width floor — 93% of all candidate rejects fell under the delta-aware breakeven. Median best-near-miss gap to the floor was +3.3 percentage points: close enough that minor IV expansion or wider chains would have unlocked materially more trades.</w:t>
      </w:r>
    </w:p>
    <w:p>
      <w:pPr>
        <w:spacing w:after="160"/>
      </w:pPr>
      <w:r>
        <w:rPr>
          <w:b w:val="0"/>
          <w:i w:val="0"/>
          <w:sz w:val="22"/>
        </w:rPr>
        <w:t>This report serves as the live-side baseline. Run a backtest with the same preset over a recent window (last 7-30 trading days) and compare against the metrics in §3-4 to identify divergences. The key gap categories to look for are listed in §5.</w:t>
      </w:r>
    </w:p>
    <w:p>
      <w:pPr>
        <w:spacing w:before="160" w:after="160"/>
      </w:pPr>
      <w:r>
        <w:rPr>
          <w:b/>
          <w:color w:val="1F3A6E"/>
          <w:sz w:val="40"/>
        </w:rPr>
        <w:t>2.  Configuration Snapshot</w:t>
      </w:r>
    </w:p>
    <w:p>
      <w:pPr>
        <w:spacing w:after="120"/>
      </w:pPr>
      <w:r>
        <w:rPr>
          <w:b w:val="0"/>
          <w:i w:val="0"/>
          <w:sz w:val="22"/>
        </w:rPr>
        <w:t>Both live and backtest must run with identical config to make the comparison meaningful.</w:t>
      </w:r>
    </w:p>
    <w:p>
      <w:pPr>
        <w:spacing w:before="160" w:after="40"/>
      </w:pPr>
      <w:r>
        <w:rPr>
          <w:b/>
          <w:color w:val="1F3A6E"/>
          <w:sz w:val="24"/>
        </w:rPr>
        <w:t>Strategy preset (STRATEGY_PRESET.json)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profile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scan_mode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adaptive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edge_buffer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0.0  (trade at exact breakeven, no cushion)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min_pop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0.55  (≥ 55% probability of profit)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max_delta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0.35  (short-strike cap)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max_risk_pct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0.02  (2% of equity per trade)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min_credit_ratio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0.20  (static-mode fallback floor)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delta_grid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[0.20, 0.25, 0.30, 0.35]   ← 4 short-deltas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dte_grid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[7, 14, 21, 30]            ← 4 expirations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width_grid_pct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[0.005, 0.01, 0.015, 0.02, 0.025]   ← 5 widths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Adaptive candidates per ticker per cycle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4 × 4 × 5 = 80</w:t>
            </w:r>
          </w:p>
        </w:tc>
      </w:tr>
    </w:tbl>
    <w:p>
      <w:pPr>
        <w:spacing w:before="160" w:after="40"/>
      </w:pPr>
      <w:r>
        <w:rPr>
          <w:b/>
          <w:color w:val="1F3A6E"/>
          <w:sz w:val="24"/>
        </w:rPr>
        <w:t>Tradable universe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Tickers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SPY, QQQ, IWM, DIA, XLF, XLE, XLK, TLT, GLD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Count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9 (broad-market, sector, asset-class diversifiers)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Single-name stocks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 (per user policy — ETFs only)</w:t>
            </w:r>
          </w:p>
        </w:tc>
      </w:tr>
    </w:tbl>
    <w:p>
      <w:pPr>
        <w:spacing w:before="160" w:after="160"/>
      </w:pPr>
      <w:r>
        <w:rPr>
          <w:b/>
          <w:color w:val="1F3A6E"/>
          <w:sz w:val="40"/>
        </w:rPr>
        <w:t>3.  Today's Live Activity (2026-05-04)</w:t>
      </w:r>
    </w:p>
    <w:p>
      <w:pPr>
        <w:spacing w:before="240" w:after="80"/>
      </w:pPr>
      <w:r>
        <w:rPr>
          <w:b/>
          <w:color w:val="1F3A6E"/>
          <w:sz w:val="28"/>
        </w:rPr>
        <w:t>3.1  Cycle volumes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Distinct cycle minutes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101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First cycle (UTC)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00:55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Last cycle (UTC)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20:06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RTH session window (UTC)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13:30 – 20:00  (~6.5h × 60min ÷ 5min cadence ≈ 78 cycles)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Per-ticker action rows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1,230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Avg ticker decisions / cycle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≈ 9 (full universe scanned each cycle)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Agent-event rows (orphans)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28  (after-hours-shutdown + stale-order-cancel logs)</w:t>
            </w:r>
          </w:p>
        </w:tc>
      </w:tr>
    </w:tbl>
    <w:p>
      <w:pPr>
        <w:spacing w:before="240" w:after="80"/>
      </w:pPr>
      <w:r>
        <w:rPr>
          <w:b/>
          <w:color w:val="1F3A6E"/>
          <w:sz w:val="28"/>
        </w:rPr>
        <w:t>3.2  Outcome breakdown (action rows)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152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504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rejected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780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63.4%</w:t>
            </w:r>
          </w:p>
        </w:tc>
        <w:tc>
          <w:tcPr>
            <w:tcW w:type="dxa" w:w="5040"/>
            <w:shd w:val="clear" w:color="auto" w:fill="F5F5F5"/>
          </w:tcPr>
          <w:p>
            <w:r/>
            <w:r>
              <w:rPr>
                <w:sz w:val="20"/>
              </w:rPr>
              <w:t>Risk manager or scanner rejected (no candidate cleared the floor)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skipped_existing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415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33.7%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Ticker already holds a spread or pending order — short-circuited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skipped_defense_first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1.5%</w:t>
            </w:r>
          </w:p>
        </w:tc>
        <w:tc>
          <w:tcPr>
            <w:tcW w:type="dxa" w:w="5040"/>
            <w:shd w:val="clear" w:color="auto" w:fill="F5F5F5"/>
          </w:tcPr>
          <w:p>
            <w:r/>
            <w:r>
              <w:rPr>
                <w:sz w:val="20"/>
              </w:rPr>
              <w:t>GOOG IV rank 100 — defensive HighIV block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submitted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1.4%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Multi-leg limit order POSTed to Alpaca</w:t>
            </w:r>
          </w:p>
        </w:tc>
      </w:tr>
    </w:tbl>
    <w:p>
      <w:pPr>
        <w:spacing w:before="240" w:after="80"/>
      </w:pPr>
      <w:r>
        <w:rPr>
          <w:b/>
          <w:color w:val="1F3A6E"/>
          <w:sz w:val="28"/>
        </w:rPr>
        <w:t>3.3  Per-ticker activity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144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Submitted</w:t>
            </w:r>
          </w:p>
        </w:tc>
        <w:tc>
          <w:tcPr>
            <w:tcW w:type="dxa" w:w="144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Rejected</w:t>
            </w:r>
          </w:p>
        </w:tc>
        <w:tc>
          <w:tcPr>
            <w:tcW w:type="dxa" w:w="216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Skipped (existing)</w:t>
            </w:r>
          </w:p>
        </w:tc>
        <w:tc>
          <w:tcPr>
            <w:tcW w:type="dxa" w:w="2448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Skipped (defense)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SPY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148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48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QQQ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IWM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147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48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DIA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127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78</w:t>
            </w:r>
          </w:p>
        </w:tc>
        <w:tc>
          <w:tcPr>
            <w:tcW w:type="dxa" w:w="2448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XLE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2448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TLT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GLD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123</w:t>
            </w:r>
          </w:p>
        </w:tc>
        <w:tc>
          <w:tcPr>
            <w:tcW w:type="dxa" w:w="2448"/>
            <w:shd w:val="clear" w:color="auto" w:fill="F5F5F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GOOG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18  (HighIV block)</w:t>
            </w:r>
          </w:p>
        </w:tc>
      </w:tr>
    </w:tbl>
    <w:p>
      <w:pPr>
        <w:spacing w:before="240" w:after="80"/>
      </w:pPr>
      <w:r>
        <w:rPr>
          <w:b/>
          <w:color w:val="1F3A6E"/>
          <w:sz w:val="28"/>
        </w:rPr>
        <w:t>3.4  Submitted orders (17 total)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9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Time (UTC)</w:t>
            </w:r>
          </w:p>
        </w:tc>
        <w:tc>
          <w:tcPr>
            <w:tcW w:type="dxa" w:w="1008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2592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1008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Credit</w:t>
            </w:r>
          </w:p>
        </w:tc>
        <w:tc>
          <w:tcPr>
            <w:tcW w:type="dxa" w:w="1152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Max loss</w:t>
            </w:r>
          </w:p>
        </w:tc>
        <w:tc>
          <w:tcPr>
            <w:tcW w:type="dxa" w:w="158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Order ID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16:27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DIA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Iron Condor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$4.54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$846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51542fe4…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16:38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$0.18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$32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71742771…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16:38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GLD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Iron Condor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$6.33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$867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de7f6712…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16:51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$0.72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$28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87df5db4…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17:26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$0.62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$38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1c1fa86e…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17:36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$0.11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$39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fe552691…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17:51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XLE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$0.15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$35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d22c80a3…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17:59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$0.12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$38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a67e28b0…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17:59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$0.18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$32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dfba98dd…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18:05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$0.60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$40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9dec2559…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18:29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$0.14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$36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8871c708…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18:29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$0.14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$36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2b75dcc0…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18:35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TLT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Mean Reversion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$0.15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$35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45baf36a…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18:35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$0.59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$41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8c5b1525…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18:54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$0.15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$35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c06c90d9…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19:03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XLK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Bull Put Spread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$0.58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$42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2e52f48f…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19:16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XLF</w:t>
            </w:r>
          </w:p>
        </w:tc>
        <w:tc>
          <w:tcPr>
            <w:tcW w:type="dxa" w:w="2592"/>
            <w:shd w:val="clear" w:color="auto" w:fill="F5F5F5"/>
          </w:tcPr>
          <w:p>
            <w:r/>
            <w:r>
              <w:rPr>
                <w:sz w:val="20"/>
              </w:rPr>
              <w:t>Bear Call Spread</w:t>
            </w:r>
          </w:p>
        </w:tc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$0.14</w:t>
            </w:r>
          </w:p>
        </w:tc>
        <w:tc>
          <w:tcPr>
            <w:tcW w:type="dxa" w:w="1152"/>
            <w:shd w:val="clear" w:color="auto" w:fill="F5F5F5"/>
          </w:tcPr>
          <w:p>
            <w:r/>
            <w:r>
              <w:rPr>
                <w:sz w:val="20"/>
              </w:rPr>
              <w:t>$36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97672ca0…</w:t>
            </w:r>
          </w:p>
        </w:tc>
      </w:tr>
    </w:tbl>
    <w:p>
      <w:pPr>
        <w:spacing w:after="160"/>
      </w:pPr>
      <w:r>
        <w:rPr>
          <w:b w:val="0"/>
          <w:i/>
          <w:color w:val="666666"/>
          <w:sz w:val="20"/>
        </w:rPr>
        <w:t>Note: 8 of 17 submissions were XLF Bear Call Spread re-submissions over a 3-hour window — the stale-order canceller (15-minute max age) was repeatedly cancelling and the next cycle was re-pricing. Only 2 ultimately filled (DIA + GLD per current broker state).</w:t>
      </w:r>
    </w:p>
    <w:p>
      <w:pPr>
        <w:spacing w:before="240" w:after="80"/>
      </w:pPr>
      <w:r>
        <w:rPr>
          <w:b/>
          <w:color w:val="1F3A6E"/>
          <w:sz w:val="28"/>
        </w:rPr>
        <w:t>3.5  Currently held positions (broker truth)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216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129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Credit ($)</w:t>
            </w:r>
          </w:p>
        </w:tc>
        <w:tc>
          <w:tcPr>
            <w:tcW w:type="dxa" w:w="158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Unreal P&amp;L ($)</w:t>
            </w:r>
          </w:p>
        </w:tc>
        <w:tc>
          <w:tcPr>
            <w:tcW w:type="dxa" w:w="129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% Profit</w:t>
            </w:r>
          </w:p>
        </w:tc>
        <w:tc>
          <w:tcPr>
            <w:tcW w:type="dxa" w:w="158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Expiry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r/>
            <w:r>
              <w:rPr>
                <w:sz w:val="20"/>
              </w:rPr>
              <w:t>GLD</w:t>
            </w:r>
          </w:p>
        </w:tc>
        <w:tc>
          <w:tcPr>
            <w:tcW w:type="dxa" w:w="2160"/>
            <w:shd w:val="clear" w:color="auto" w:fill="F5F5F5"/>
          </w:tcPr>
          <w:p>
            <w:r/>
            <w:r>
              <w:rPr>
                <w:sz w:val="20"/>
              </w:rPr>
              <w:t>Iron Condor</w:t>
            </w:r>
          </w:p>
        </w:tc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633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-50</w:t>
            </w:r>
          </w:p>
        </w:tc>
        <w:tc>
          <w:tcPr>
            <w:tcW w:type="dxa" w:w="1296"/>
            <w:shd w:val="clear" w:color="auto" w:fill="F5F5F5"/>
          </w:tcPr>
          <w:p>
            <w:r/>
            <w:r>
              <w:rPr>
                <w:sz w:val="20"/>
              </w:rPr>
              <w:t>-7.9%</w:t>
            </w:r>
          </w:p>
        </w:tc>
        <w:tc>
          <w:tcPr>
            <w:tcW w:type="dxa" w:w="1584"/>
            <w:shd w:val="clear" w:color="auto" w:fill="F5F5F5"/>
          </w:tcPr>
          <w:p>
            <w:r/>
            <w:r>
              <w:rPr>
                <w:sz w:val="20"/>
              </w:rPr>
              <w:t>2026-05-29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Iron Condor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454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-226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-49.8%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2026-05-29</w:t>
            </w:r>
          </w:p>
        </w:tc>
      </w:tr>
    </w:tbl>
    <w:p>
      <w:pPr>
        <w:spacing w:after="160"/>
      </w:pPr>
      <w:r>
        <w:rPr>
          <w:b w:val="0"/>
          <w:i/>
          <w:color w:val="666666"/>
          <w:sz w:val="20"/>
        </w:rPr>
        <w:t>Both spreads cleared the C/W floor at entry (≥0.42, vs 0.35 required) and remain HOLD per the position monitor.</w:t>
      </w:r>
    </w:p>
    <w:p>
      <w:pPr>
        <w:spacing w:before="240" w:after="80"/>
      </w:pPr>
      <w:r>
        <w:rPr>
          <w:b/>
          <w:color w:val="1F3A6E"/>
          <w:sz w:val="28"/>
        </w:rPr>
        <w:t>3.6  Rejection reason aggregate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88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Total candidate evaluations</w:t>
            </w:r>
          </w:p>
        </w:tc>
        <w:tc>
          <w:tcPr>
            <w:tcW w:type="dxa" w:w="1440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cw_below_floor</w:t>
            </w:r>
          </w:p>
        </w:tc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57,262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93.3%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no_chain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3,720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6.1%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credit_non_positive</w:t>
            </w:r>
          </w:p>
        </w:tc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257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0.4%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ev_non_positive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  <w:shd w:val="clear" w:color="auto" w:fill="F5F5F5"/>
          </w:tcPr>
          <w:p>
            <w:r/>
            <w:r>
              <w:rPr>
                <w:sz w:val="20"/>
              </w:rPr>
              <w:t>61,241</w:t>
            </w:r>
          </w:p>
        </w:tc>
        <w:tc>
          <w:tcPr>
            <w:tcW w:type="dxa" w:w="1440"/>
            <w:shd w:val="clear" w:color="auto" w:fill="F5F5F5"/>
          </w:tcPr>
          <w:p>
            <w:r/>
            <w:r>
              <w:rPr>
                <w:sz w:val="20"/>
              </w:rPr>
              <w:t>100%</w:t>
            </w:r>
          </w:p>
        </w:tc>
      </w:tr>
    </w:tbl>
    <w:p>
      <w:pPr>
        <w:spacing w:before="240" w:after="80"/>
      </w:pPr>
      <w:r>
        <w:rPr>
          <w:b/>
          <w:color w:val="1F3A6E"/>
          <w:sz w:val="28"/>
        </w:rPr>
        <w:t>3.7  Best near-miss distribution (rejected cycles 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C/W actual (median)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0.185  (mean 0.200, range [0.048 – 0.380])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C/W floor (median)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0.206  (mean 0.233)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Gap to floor (median)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+0.033  (live needs ~3.3 pp more credit to clear)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EV (median, annualised)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−0.0416  (mean −0.0404, worst −0.0933)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/>
            <w:r>
              <w:rPr>
                <w:b/>
                <w:color w:val="1F3A6E"/>
                <w:sz w:val="20"/>
              </w:rPr>
              <w:t>POP (median)</w:t>
            </w:r>
          </w:p>
        </w:tc>
        <w:tc>
          <w:tcPr>
            <w:tcW w:type="dxa" w:w="6480"/>
            <w:shd w:val="clear" w:color="auto" w:fill="F5F5F5"/>
          </w:tcPr>
          <w:p>
            <w:r/>
            <w:r>
              <w:rPr>
                <w:sz w:val="20"/>
              </w:rPr>
              <w:t>0.79  (well above min_pop=0.55)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F3A6E"/>
                <w:sz w:val="20"/>
              </w:rPr>
              <w:t>Implication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Most candidates are close to the floor; the system is operating near its mathematical edge.</w:t>
            </w:r>
          </w:p>
        </w:tc>
      </w:tr>
    </w:tbl>
    <w:p>
      <w:pPr>
        <w:spacing w:before="160" w:after="160"/>
      </w:pPr>
      <w:r>
        <w:rPr>
          <w:b/>
          <w:color w:val="1F3A6E"/>
          <w:sz w:val="40"/>
        </w:rPr>
        <w:t>4.  Backtest Comparison Framework</w:t>
      </w:r>
    </w:p>
    <w:p>
      <w:pPr>
        <w:spacing w:after="160"/>
      </w:pPr>
      <w:r>
        <w:rPr>
          <w:b w:val="0"/>
          <w:i w:val="0"/>
          <w:sz w:val="22"/>
        </w:rPr>
        <w:t>Run a backtest with the IDENTICAL preset and ticker universe over a recent window (suggest 30 trading days ending 2026-05-03). Compare the table below side-by-side. Material divergences signal model error or slippage drag; small divergences are expected.</w:t>
      </w:r>
    </w:p>
    <w:p>
      <w:pPr>
        <w:spacing w:before="240" w:after="80"/>
      </w:pPr>
      <w:r>
        <w:rPr>
          <w:b/>
          <w:color w:val="1F3A6E"/>
          <w:sz w:val="28"/>
        </w:rPr>
        <w:t>4.1  Side-by-side metrics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0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Live (today)</w:t>
            </w:r>
          </w:p>
        </w:tc>
        <w:tc>
          <w:tcPr>
            <w:tcW w:type="dxa" w:w="2016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Backtest (fill in)</w:t>
            </w:r>
          </w:p>
        </w:tc>
        <w:tc>
          <w:tcPr>
            <w:tcW w:type="dxa" w:w="2304"/>
            <w:shd w:val="clear" w:color="auto" w:fill="1F3A6E"/>
          </w:tcPr>
          <w:p>
            <w:r/>
            <w:r>
              <w:rPr>
                <w:b/>
                <w:color w:val="FFFFFF"/>
                <w:sz w:val="20"/>
              </w:rPr>
              <w:t>Tolerance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Cycles per RTH session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≈ 78  (5-min cadence)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± 0  (cadence is deterministic)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Tickers scanned per cycle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must match exactly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Adaptive candidates / cycle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9 × 80 = 720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must match exactly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Total candidate evaluations / day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≈ 56,000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± 5%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Median best-near-miss C/W gap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+0.033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± 0.01  (chain pricing parity check)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Median best-near-miss POP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0.79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± 0.02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% of cycles with ≥1 passing candidate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≈ 22%  (17 + ~hold-blocks ÷ ~78)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± 5%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Submission-eligible candidates / day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≈ 17 + held = 19-20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± 3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Spreads opened / day (filled)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2  (DIA + GLD)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Backtest assumes 100% fill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Hypothetical P&amp;L (if all 17 filled)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Δ from broker-side mark-to-market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see §5 for slippage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Realised P&amp;L through day-end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$0  (no closes)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± few $ from mid drift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Cumulative credit collected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$15.84  (sum of submitted credits)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± fill-rate × slippage</w:t>
            </w:r>
          </w:p>
        </w:tc>
      </w:tr>
      <w:tr>
        <w:tc>
          <w:tcPr>
            <w:tcW w:type="dxa" w:w="3456"/>
            <w:shd w:val="clear" w:color="auto" w:fill="F5F5F5"/>
          </w:tcPr>
          <w:p>
            <w:r/>
            <w:r>
              <w:rPr>
                <w:sz w:val="20"/>
              </w:rPr>
              <w:t>Risk-manager rejection rate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63.4% of action rows</w:t>
            </w:r>
          </w:p>
        </w:tc>
        <w:tc>
          <w:tcPr>
            <w:tcW w:type="dxa" w:w="2016"/>
            <w:shd w:val="clear" w:color="auto" w:fill="F5F5F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r/>
            <w:r>
              <w:rPr>
                <w:sz w:val="20"/>
              </w:rPr>
              <w:t>± 5%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Floor (C/W) reject share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93.3%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± 2%</w:t>
            </w:r>
          </w:p>
        </w:tc>
      </w:tr>
    </w:tbl>
    <w:p>
      <w:pPr>
        <w:spacing w:before="160" w:after="160"/>
      </w:pPr>
      <w:r>
        <w:rPr>
          <w:b/>
          <w:color w:val="1F3A6E"/>
          <w:sz w:val="40"/>
        </w:rPr>
        <w:t>5.  Where Live Diverges from Backtest (Gap Analysis)</w:t>
      </w:r>
    </w:p>
    <w:p>
      <w:pPr>
        <w:spacing w:after="160"/>
      </w:pPr>
      <w:r>
        <w:rPr>
          <w:b w:val="0"/>
          <w:i w:val="0"/>
          <w:sz w:val="22"/>
        </w:rPr>
        <w:t>These are the structural reasons a backtest will overstate live performance. When a backtest claims P&amp;L the live system can't achieve, one of these is the explanation.</w:t>
      </w:r>
    </w:p>
    <w:p>
      <w:pPr>
        <w:spacing w:before="160" w:after="40"/>
      </w:pPr>
      <w:r>
        <w:rPr>
          <w:b/>
          <w:color w:val="1F3A6E"/>
          <w:sz w:val="24"/>
        </w:rPr>
        <w:t>Fill rate gap (BIGGEST)</w:t>
      </w:r>
    </w:p>
    <w:p>
      <w:pPr>
        <w:spacing w:after="120"/>
      </w:pPr>
      <w:r>
        <w:rPr>
          <w:b w:val="0"/>
          <w:i w:val="0"/>
          <w:sz w:val="22"/>
        </w:rPr>
        <w:t>Backtest fills 100% of submitted orders at the limit. Today live submitted 17, broker filled 2 (~12%). Difference: backtester assumes a market maker is on the other side at exact mid; live demands a real counterparty at a stale mid. The executor's 15% fallback haircut helps but doesn't close the gap fully.</w:t>
      </w:r>
    </w:p>
    <w:p>
      <w:pPr>
        <w:spacing w:before="160" w:after="40"/>
      </w:pPr>
      <w:r>
        <w:rPr>
          <w:b/>
          <w:color w:val="1F3A6E"/>
          <w:sz w:val="24"/>
        </w:rPr>
        <w:t>Stale-order rotation churn</w:t>
      </w:r>
    </w:p>
    <w:p>
      <w:pPr>
        <w:spacing w:after="120"/>
      </w:pPr>
      <w:r>
        <w:rPr>
          <w:b w:val="0"/>
          <w:i w:val="0"/>
          <w:sz w:val="22"/>
        </w:rPr>
        <w:t>Today's stale-order canceller cancelled XLF 8 times over 3 hours; backtester doesn't rotate (it either fills the original limit or holds DAY-tif until close). On the live side that's 8 round-trip API calls + 8 chains worth of theta drift the backtester never models.</w:t>
      </w:r>
    </w:p>
    <w:p>
      <w:pPr>
        <w:spacing w:before="160" w:after="40"/>
      </w:pPr>
      <w:r>
        <w:rPr>
          <w:b/>
          <w:color w:val="1F3A6E"/>
          <w:sz w:val="24"/>
        </w:rPr>
        <w:t>Quote-refresh fallbacks</w:t>
      </w:r>
    </w:p>
    <w:p>
      <w:pPr>
        <w:spacing w:after="120"/>
      </w:pPr>
      <w:r>
        <w:rPr>
          <w:b w:val="0"/>
          <w:i w:val="0"/>
          <w:sz w:val="22"/>
        </w:rPr>
        <w:t>Live executor's _refresh_limit_price hits Alpaca options snapshot endpoint with 15s timeout. On timeout it falls back to the synthetic plan credit × 0.85. Today this fired multiple times based on log warnings. Backtest uses the synthetic Black-Scholes mid every time — no fallback, no haircut, no cost.</w:t>
      </w:r>
    </w:p>
    <w:p>
      <w:pPr>
        <w:spacing w:before="160" w:after="40"/>
      </w:pPr>
      <w:r>
        <w:rPr>
          <w:b/>
          <w:color w:val="1F3A6E"/>
          <w:sz w:val="24"/>
        </w:rPr>
        <w:t>After-hours gaps</w:t>
      </w:r>
    </w:p>
    <w:p>
      <w:pPr>
        <w:spacing w:after="120"/>
      </w:pPr>
      <w:r>
        <w:rPr>
          <w:b w:val="0"/>
          <w:i w:val="0"/>
          <w:sz w:val="22"/>
        </w:rPr>
        <w:t>Live agent emits 18 'after_hours_shutdown' event rows today (cycles attempted outside RTH, instantly aborted). Backtest's clock advances only inside RTH and skips this overhead entirely — its 'cycles per day' count is purely RTH-bound.</w:t>
      </w:r>
    </w:p>
    <w:p>
      <w:pPr>
        <w:spacing w:before="160" w:after="40"/>
      </w:pPr>
      <w:r>
        <w:rPr>
          <w:b/>
          <w:color w:val="1F3A6E"/>
          <w:sz w:val="24"/>
        </w:rPr>
        <w:t>Existing-position dedup overhead</w:t>
      </w:r>
    </w:p>
    <w:p>
      <w:pPr>
        <w:spacing w:after="120"/>
      </w:pPr>
      <w:r>
        <w:rPr>
          <w:b w:val="0"/>
          <w:i w:val="0"/>
          <w:sz w:val="22"/>
        </w:rPr>
        <w:t>415 of 1,230 action rows today were skipped_existing — tickers with open positions or pending orders. Backtest's SimAccount tracks open positions but the dedup logic lives in agent.py:_run_cycle and is exercised live. Verify backtest's skipped_existing count is in the same ballpark for parity.</w:t>
      </w:r>
    </w:p>
    <w:p>
      <w:pPr>
        <w:spacing w:before="160" w:after="40"/>
      </w:pPr>
      <w:r>
        <w:rPr>
          <w:b/>
          <w:color w:val="1F3A6E"/>
          <w:sz w:val="24"/>
        </w:rPr>
        <w:t>Defense-first / HighIV blocks</w:t>
      </w:r>
    </w:p>
    <w:p>
      <w:pPr>
        <w:spacing w:after="120"/>
      </w:pPr>
      <w:r>
        <w:rPr>
          <w:b w:val="0"/>
          <w:i w:val="0"/>
          <w:sz w:val="22"/>
        </w:rPr>
        <w:t>GOOG was blocked 18× today (HighIV defense). Backtest evaluates defense_first via the same code path through decide(), but historical IV percentile data for synthetic chains is approximated. If backtest's HighIV block count differs &gt; 20% from live, the synthetic-chain IV calibration is drifting.</w:t>
      </w:r>
    </w:p>
    <w:p>
      <w:pPr>
        <w:spacing w:before="160" w:after="40"/>
      </w:pPr>
      <w:r>
        <w:rPr>
          <w:b/>
          <w:color w:val="1F3A6E"/>
          <w:sz w:val="24"/>
        </w:rPr>
        <w:t>Slippage on credit collection</w:t>
      </w:r>
    </w:p>
    <w:p>
      <w:pPr>
        <w:spacing w:after="120"/>
      </w:pPr>
      <w:r>
        <w:rPr>
          <w:b w:val="0"/>
          <w:i w:val="0"/>
          <w:sz w:val="22"/>
        </w:rPr>
        <w:t>Live submitted credit ≠ live filled credit. The executor's 1-tick haircut + 15% fallback haircut means filled credit is typically 90-95% of mid. Backtest collects the synthetic mid verbatim. For a $15.84 credit aggregate, that's roughly $0.80-$1.50 of model overestimate per day in pure pricing optimism.</w:t>
      </w:r>
    </w:p>
    <w:p>
      <w:pPr>
        <w:spacing w:before="160" w:after="40"/>
      </w:pPr>
      <w:r>
        <w:rPr>
          <w:b/>
          <w:color w:val="1F3A6E"/>
          <w:sz w:val="24"/>
        </w:rPr>
        <w:t>No mark-to-market re-evaluation between cycles</w:t>
      </w:r>
    </w:p>
    <w:p>
      <w:pPr>
        <w:spacing w:after="120"/>
      </w:pPr>
      <w:r>
        <w:rPr>
          <w:b w:val="0"/>
          <w:i w:val="0"/>
          <w:sz w:val="22"/>
        </w:rPr>
        <w:t>Live broker constantly remarks open positions; live cycle re-classifies regime every 5 min. Backtest re-marks at fixed intervals (per day or per intraday tick). Look at backtest's position-snapshot timestamps vs live's actual position-monitor cadence.</w:t>
      </w:r>
    </w:p>
    <w:p>
      <w:pPr>
        <w:spacing w:before="160" w:after="40"/>
      </w:pPr>
      <w:r>
        <w:rPr>
          <w:b/>
          <w:color w:val="1F3A6E"/>
          <w:sz w:val="24"/>
        </w:rPr>
        <w:t>Weekday holidays + half-days</w:t>
      </w:r>
    </w:p>
    <w:p>
      <w:pPr>
        <w:spacing w:after="120"/>
      </w:pPr>
      <w:r>
        <w:rPr>
          <w:b w:val="0"/>
          <w:i w:val="0"/>
          <w:sz w:val="22"/>
        </w:rPr>
        <w:t>Live agent uses pandas_market_calendars to skip NYSE holidays (Good Friday, MLK, etc) and half-days. Backtest must use the same calendar for cycle counts to align. Quick check: trading days in the backtest window should equal pandas_market_calendars.NYSE.valid_days(start, end) row count.</w:t>
      </w:r>
    </w:p>
    <w:p>
      <w:pPr>
        <w:spacing w:before="160" w:after="160"/>
      </w:pPr>
      <w:r>
        <w:rPr>
          <w:b/>
          <w:color w:val="1F3A6E"/>
          <w:sz w:val="40"/>
        </w:rPr>
        <w:t>6.  Recommended Validation Steps</w:t>
      </w:r>
    </w:p>
    <w:p>
      <w:pPr>
        <w:spacing w:after="80"/>
      </w:pPr>
      <w:r>
        <w:rPr>
          <w:b w:val="0"/>
          <w:i w:val="0"/>
          <w:sz w:val="22"/>
        </w:rPr>
        <w:t>1.  Run a 30-trading-day backtest in the Backtesting tab using 'custom (from live)' preset selection — this guarantees configuration parity.</w:t>
      </w:r>
    </w:p>
    <w:p>
      <w:pPr>
        <w:spacing w:after="80"/>
      </w:pPr>
      <w:r>
        <w:rPr>
          <w:b w:val="0"/>
          <w:i w:val="0"/>
          <w:sz w:val="22"/>
        </w:rPr>
        <w:t>2.  Compare the backtest's 'cycles per day' diagnostic against ≈78 (the live RTH-cadence ceiling). Significant deviation indicates clock or holiday-calendar drift.</w:t>
      </w:r>
    </w:p>
    <w:p>
      <w:pPr>
        <w:spacing w:after="80"/>
      </w:pPr>
      <w:r>
        <w:rPr>
          <w:b w:val="0"/>
          <w:i w:val="0"/>
          <w:sz w:val="22"/>
        </w:rPr>
        <w:t>3.  Compare 'rejects_by_reason' in backtest vs live's 93.3% cw_below_floor share. The backtest should produce a similar dominant reason if synthetic chains are calibrated to real-market premiums.</w:t>
      </w:r>
    </w:p>
    <w:p>
      <w:pPr>
        <w:spacing w:after="80"/>
      </w:pPr>
      <w:r>
        <w:rPr>
          <w:b w:val="0"/>
          <w:i w:val="0"/>
          <w:sz w:val="22"/>
        </w:rPr>
        <w:t>4.  Compare median best-near-miss EV/POP/C-W in backtest vs §3.7 above. Material gaps (&gt;0.05 in any of these) indicate the synthetic option chain is mispricing relative to live OPRA quotes.</w:t>
      </w:r>
    </w:p>
    <w:p>
      <w:pPr>
        <w:spacing w:after="80"/>
      </w:pPr>
      <w:r>
        <w:rPr>
          <w:b w:val="0"/>
          <w:i w:val="0"/>
          <w:sz w:val="22"/>
        </w:rPr>
        <w:t>5.  Apply a 10-15% fill-rate haircut OR a credit-collection slippage of 5% to backtest P&amp;L before comparing to live realised P&amp;L. Without these adjustments, backtest will consistently overstate by an estimated $1-2 per submission.</w:t>
      </w:r>
    </w:p>
    <w:p>
      <w:pPr>
        <w:spacing w:after="80"/>
      </w:pPr>
      <w:r>
        <w:rPr>
          <w:b w:val="0"/>
          <w:i w:val="0"/>
          <w:sz w:val="22"/>
        </w:rPr>
        <w:t>6.  Validate the trade-plan-history rotation: live keeps 200 entries per ticker; backtest should match so the position-grouping fallback logic exercises identically.</w:t>
      </w:r>
    </w:p>
    <w:p>
      <w:pPr>
        <w:spacing w:after="80"/>
      </w:pPr>
      <w:r>
        <w:rPr>
          <w:b w:val="0"/>
          <w:i w:val="0"/>
          <w:sz w:val="22"/>
        </w:rPr>
        <w:t>7.  Once the backtest has run, archive the 'cycle outcomes' diagnostic export from the Backtest tab. That CSV is the comparison artefact for next time — diff it row-for-row against today's signals_live.jsonl filtered to action rows.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666666"/>
          <w:sz w:val="16"/>
        </w:rPr>
        <w:t>Report generated 2026-05-04 23:05 UTC  ·  Source: trade_journal/signals_live.jsonl + AGENT_LOG + trade_plans/*.json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