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4"/>
          <w:szCs w:val="44"/>
        </w:rPr>
        <w:t xml:space="preserve">Technisch Datablad</w:t>
      </w:r>
    </w:p>
    <w:p>
      <w:pPr>
        <w:spacing w:after="300"/>
      </w:pPr>
      <w:r>
        <w:rPr>
          <w:rFonts w:ascii="Calibri" w:cs="Calibri" w:eastAsia="Calibri" w:hAnsi="Calibri"/>
          <w:b/>
          <w:bCs/>
          <w:color w:val="8C1D18"/>
          <w:sz w:val="32"/>
          <w:szCs w:val="32"/>
        </w:rPr>
        <w:t xml:space="preserve">Keukensysteem Solide 200</w:t>
      </w:r>
    </w:p>
    <w:p>
      <w:pPr>
        <w:spacing w:after="120"/>
      </w:pPr>
      <w:r>
        <w:rPr>
          <w:rFonts w:ascii="Calibri" w:cs="Calibri" w:eastAsia="Calibri" w:hAnsi="Calibri"/>
          <w:i/>
          <w:iCs/>
          <w:sz w:val="18"/>
          <w:szCs w:val="18"/>
        </w:rPr>
        <w:t xml:space="preserve">Documentnummer: TD-SD200-NL-2026 · Versie 2.4 · Datum: maart 2026</w:t>
      </w:r>
    </w:p>
    <w:p>
      <w:pPr>
        <w:spacing w:after="120"/>
      </w:pPr>
      <w:r>
        <w:rPr>
          <w:rFonts w:ascii="Calibri" w:cs="Calibri" w:eastAsia="Calibri" w:hAnsi="Calibri"/>
          <w:sz w:val="18"/>
          <w:szCs w:val="18"/>
        </w:rPr>
        <w:t xml:space="preserve">Rotpunkt Küchen GmbH · Ostwestfalen-Lippe, Duitsland</w:t>
      </w:r>
    </w:p>
    <w:p>
      <w:pPr>
        <w:pStyle w:val="Heading1"/>
        <w:spacing w:after="150" w:before="300"/>
      </w:pPr>
      <w:r>
        <w:t xml:space="preserve">1. Productoverzicht</w:t>
      </w:r>
    </w:p>
    <w:p>
      <w:pPr>
        <w:spacing w:after="120"/>
      </w:pPr>
      <w:r>
        <w:rPr>
          <w:rFonts w:ascii="Calibri" w:cs="Calibri" w:eastAsia="Calibri" w:hAnsi="Calibri"/>
        </w:rPr>
        <w:t xml:space="preserve">Het keukensysteem Solide 200 is een grifflose, modulaire inbouwkeukenserie voor het middensegment tot hogere segment. Het systeem is gebaseerd op een consistente rastermaat van 120 mm en maakt de combinatie van een rechte keuken, een kookeiland en een hoekkeuken mogelijk binnen één samenhangende constructielogica.</w:t>
      </w:r>
    </w:p>
    <w:p>
      <w:pPr>
        <w:spacing w:after="120"/>
      </w:pPr>
      <w:r>
        <w:rPr>
          <w:rFonts w:ascii="Calibri" w:cs="Calibri" w:eastAsia="Calibri" w:hAnsi="Calibri"/>
        </w:rPr>
        <w:t xml:space="preserve">De korpus van Solide 200 is leverbaar in tien korpuskleuren en vormt de technische basis voor alle modulevarianten. De korpus bestaat uit een vochtwerende spaanplaat met rondom kantenlijmwerk en heeft een materiaaldikte van 19 mm.</w:t>
      </w:r>
    </w:p>
    <w:p>
      <w:pPr>
        <w:spacing w:after="120"/>
      </w:pPr>
      <w:r>
        <w:rPr>
          <w:rFonts w:ascii="Calibri" w:cs="Calibri" w:eastAsia="Calibri" w:hAnsi="Calibri"/>
        </w:rPr>
        <w:t xml:space="preserve">De fronten zijn grifflos uitgevoerd en leverbaar in lak, Fenix-oppervlak of keramiek. Alle frontvarianten zijn verkrijgbaar met een anti-fingerprint-coating.</w:t>
      </w:r>
    </w:p>
    <w:p>
      <w:pPr>
        <w:spacing w:after="120"/>
      </w:pPr>
      <w:r>
        <w:rPr>
          <w:rFonts w:ascii="Calibri" w:cs="Calibri" w:eastAsia="Calibri" w:hAnsi="Calibri"/>
        </w:rPr>
        <w:t xml:space="preserve">Dit document beschrijft de technische eigenschappen, afmetingen, beslag en bestelinformatie van het systeem Solide 200 voor intern gebruik door vakhandel en planningsafdelingen.</w:t>
      </w:r>
    </w:p>
    <w:p>
      <w:pPr>
        <w:spacing w:after="120"/>
      </w:pPr>
      <w:r>
        <w:rPr>
          <w:rFonts w:ascii="Calibri" w:cs="Calibri" w:eastAsia="Calibri" w:hAnsi="Calibri"/>
        </w:rPr>
        <w:t xml:space="preserve">Solide 200 is ontwikkeld als antwoord op de groeiende vraag naar grifflose, strak vormgegeven keukens, zonder in te leveren op de functionele eigenschappen van een klassiek keukensysteem. Het systeem richt zich zowel op nieuwbouwprojecten als op renovaties waarbij een rustig, strak keukenbeeld gewenst is.</w:t>
      </w:r>
    </w:p>
    <w:p>
      <w:pPr>
        <w:pStyle w:val="Heading2"/>
        <w:spacing w:after="100" w:before="200"/>
      </w:pPr>
      <w:r>
        <w:t xml:space="preserve">1.1 Planningsuitgangspunten</w:t>
      </w:r>
    </w:p>
    <w:p>
      <w:pPr>
        <w:spacing w:after="120"/>
      </w:pPr>
      <w:r>
        <w:rPr>
          <w:rFonts w:ascii="Calibri" w:cs="Calibri" w:eastAsia="Calibri" w:hAnsi="Calibri"/>
        </w:rPr>
        <w:t xml:space="preserve">Bij de planning met Solide 200 dient uitgegaan te worden van een basisrastermaat van 120 mm. Afwijkende modulebreedtes zijn steeds veelvouden of delers van deze basismaat en zijn compatibel met alle accessoires.</w:t>
      </w:r>
    </w:p>
    <w:p>
      <w:pPr>
        <w:spacing w:after="120"/>
      </w:pPr>
      <w:r>
        <w:rPr>
          <w:rFonts w:ascii="Calibri" w:cs="Calibri" w:eastAsia="Calibri" w:hAnsi="Calibri"/>
        </w:rPr>
        <w:t xml:space="preserve">Bij grifflose fronten is een grijplijst of een geïntegreerde greeplijst noodzakelijk; deze wordt standaard meegeleverd bij elk modul en hoeft niet apart besteld te worden.</w:t>
      </w:r>
    </w:p>
    <w:p>
      <w:pPr>
        <w:spacing w:after="120"/>
      </w:pPr>
      <w:r>
        <w:rPr>
          <w:rFonts w:ascii="Calibri" w:cs="Calibri" w:eastAsia="Calibri" w:hAnsi="Calibri"/>
        </w:rPr>
        <w:t xml:space="preserve">De planningssoftware van Rotpunkt Küchen GmbH bevat alle modules van het Solide 200 systeem als parametrische onderdelen, zodat wijzigingen in korpushoogte automatisch worden doorgevoerd in alle gekoppelde modules.</w:t>
      </w:r>
    </w:p>
    <w:p>
      <w:pPr>
        <w:spacing w:after="120"/>
      </w:pPr>
      <w:r>
        <w:rPr>
          <w:rFonts w:ascii="Calibri" w:cs="Calibri" w:eastAsia="Calibri" w:hAnsi="Calibri"/>
        </w:rPr>
        <w:t xml:space="preserve">De doelgroep omvat zowel particuliere bouwheren in het midden- tot hogere segment als zakelijke opdrachtgevers, bijvoorbeeld bij projectmatige woningbouw met een uniforme keukenuitrusting. Het systeem is bovendien compatibel met het bestaande accessoireprogramma van andere Rotpunkt-series, mits de rastermaat van 120 mm wordt aangehouden.</w:t>
      </w:r>
    </w:p>
    <w:p>
      <w:pPr>
        <w:pStyle w:val="Heading1"/>
        <w:spacing w:after="150" w:before="300"/>
      </w:pPr>
      <w:r>
        <w:t xml:space="preserve">2. Materialen</w:t>
      </w:r>
    </w:p>
    <w:p>
      <w:pPr>
        <w:spacing w:after="120"/>
      </w:pPr>
      <w:r>
        <w:rPr>
          <w:rFonts w:ascii="Calibri" w:cs="Calibri" w:eastAsia="Calibri" w:hAnsi="Calibri"/>
        </w:rPr>
        <w:t xml:space="preserve">Onderstaande tabel geeft een overzicht van de beschikbare materialen voor korpus en front, inclusief hun technische eigenschappen.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2600"/>
        <w:gridCol w:w="2600"/>
      </w:tblGrid>
      <w:tr>
        <w:trPr>
          <w:tblHeader/>
        </w:trPr>
        <w:tc>
          <w:tcPr>
            <w:tcW w:type="dxa" w:w="2200"/>
            <w:shd w:fill="D9D9D9" w:val="clear"/>
          </w:tcPr>
          <w:p>
            <w:r>
              <w:rPr>
                <w:rFonts w:ascii="Calibri" w:cs="Calibri" w:eastAsia="Calibri" w:hAnsi="Calibri"/>
                <w:b/>
                <w:bCs/>
                <w:sz w:val="20"/>
                <w:szCs w:val="20"/>
              </w:rPr>
              <w:t xml:space="preserve">Onderdeel</w:t>
            </w:r>
          </w:p>
        </w:tc>
        <w:tc>
          <w:tcPr>
            <w:tcW w:type="dxa" w:w="2400"/>
            <w:shd w:fill="D9D9D9" w:val="clear"/>
          </w:tcPr>
          <w:p>
            <w:r>
              <w:rPr>
                <w:rFonts w:ascii="Calibri" w:cs="Calibri" w:eastAsia="Calibri" w:hAnsi="Calibri"/>
                <w:b/>
                <w:bCs/>
                <w:sz w:val="20"/>
                <w:szCs w:val="20"/>
              </w:rPr>
              <w:t xml:space="preserve">Materiaal</w:t>
            </w:r>
          </w:p>
        </w:tc>
        <w:tc>
          <w:tcPr>
            <w:tcW w:type="dxa" w:w="1400"/>
            <w:shd w:fill="D9D9D9" w:val="clear"/>
          </w:tcPr>
          <w:p>
            <w:r>
              <w:rPr>
                <w:rFonts w:ascii="Calibri" w:cs="Calibri" w:eastAsia="Calibri" w:hAnsi="Calibri"/>
                <w:b/>
                <w:bCs/>
                <w:sz w:val="20"/>
                <w:szCs w:val="20"/>
              </w:rPr>
              <w:t xml:space="preserve">Dikte</w:t>
            </w:r>
          </w:p>
        </w:tc>
        <w:tc>
          <w:tcPr>
            <w:tcW w:type="dxa" w:w="2600"/>
            <w:shd w:fill="D9D9D9" w:val="clear"/>
          </w:tcPr>
          <w:p>
            <w:r>
              <w:rPr>
                <w:rFonts w:ascii="Calibri" w:cs="Calibri" w:eastAsia="Calibri" w:hAnsi="Calibri"/>
                <w:b/>
                <w:bCs/>
                <w:sz w:val="20"/>
                <w:szCs w:val="20"/>
              </w:rPr>
              <w:t xml:space="preserve">Oppervlak</w:t>
            </w:r>
          </w:p>
        </w:tc>
        <w:tc>
          <w:tcPr>
            <w:tcW w:type="dxa" w:w="2600"/>
            <w:shd w:fill="D9D9D9" w:val="clear"/>
          </w:tcPr>
          <w:p>
            <w:r>
              <w:rPr>
                <w:rFonts w:ascii="Calibri" w:cs="Calibri" w:eastAsia="Calibri" w:hAnsi="Calibri"/>
                <w:b/>
                <w:bCs/>
                <w:sz w:val="20"/>
                <w:szCs w:val="20"/>
              </w:rPr>
              <w:t xml:space="preserve">Opmerking</w:t>
            </w:r>
          </w:p>
        </w:tc>
      </w:tr>
      <w:tr>
        <w:tc>
          <w:tcPr>
            <w:tcW w:type="dxa" w:w="2200"/>
          </w:tcPr>
          <w:p>
            <w:r>
              <w:rPr>
                <w:rFonts w:ascii="Calibri" w:cs="Calibri" w:eastAsia="Calibri" w:hAnsi="Calibri"/>
                <w:b w:val="false"/>
                <w:bCs w:val="false"/>
                <w:sz w:val="20"/>
                <w:szCs w:val="20"/>
              </w:rPr>
              <w:t xml:space="preserve">Korpus</w:t>
            </w:r>
          </w:p>
        </w:tc>
        <w:tc>
          <w:tcPr>
            <w:tcW w:type="dxa" w:w="2400"/>
          </w:tcPr>
          <w:p>
            <w:r>
              <w:rPr>
                <w:rFonts w:ascii="Calibri" w:cs="Calibri" w:eastAsia="Calibri" w:hAnsi="Calibri"/>
                <w:b w:val="false"/>
                <w:bCs w:val="false"/>
                <w:sz w:val="20"/>
                <w:szCs w:val="20"/>
              </w:rPr>
              <w:t xml:space="preserve">Vochtwerende spaanplaat</w:t>
            </w:r>
          </w:p>
        </w:tc>
        <w:tc>
          <w:tcPr>
            <w:tcW w:type="dxa" w:w="1400"/>
          </w:tcPr>
          <w:p>
            <w:r>
              <w:rPr>
                <w:rFonts w:ascii="Calibri" w:cs="Calibri" w:eastAsia="Calibri" w:hAnsi="Calibri"/>
                <w:b w:val="false"/>
                <w:bCs w:val="false"/>
                <w:sz w:val="20"/>
                <w:szCs w:val="20"/>
              </w:rPr>
              <w:t xml:space="preserve">19 mm</w:t>
            </w:r>
          </w:p>
        </w:tc>
        <w:tc>
          <w:tcPr>
            <w:tcW w:type="dxa" w:w="2600"/>
          </w:tcPr>
          <w:p>
            <w:r>
              <w:rPr>
                <w:rFonts w:ascii="Calibri" w:cs="Calibri" w:eastAsia="Calibri" w:hAnsi="Calibri"/>
                <w:b w:val="false"/>
                <w:bCs w:val="false"/>
                <w:sz w:val="20"/>
                <w:szCs w:val="20"/>
              </w:rPr>
              <w:t xml:space="preserve">Melamine gecoat</w:t>
            </w:r>
          </w:p>
        </w:tc>
        <w:tc>
          <w:tcPr>
            <w:tcW w:type="dxa" w:w="2600"/>
          </w:tcPr>
          <w:p>
            <w:r>
              <w:rPr>
                <w:rFonts w:ascii="Calibri" w:cs="Calibri" w:eastAsia="Calibri" w:hAnsi="Calibri"/>
                <w:b w:val="false"/>
                <w:bCs w:val="false"/>
                <w:sz w:val="20"/>
                <w:szCs w:val="20"/>
              </w:rPr>
              <w:t xml:space="preserve">10 korpuskleuren beschikbaar</w:t>
            </w:r>
          </w:p>
        </w:tc>
      </w:tr>
      <w:tr>
        <w:tc>
          <w:tcPr>
            <w:tcW w:type="dxa" w:w="2200"/>
          </w:tcPr>
          <w:p>
            <w:r>
              <w:rPr>
                <w:rFonts w:ascii="Calibri" w:cs="Calibri" w:eastAsia="Calibri" w:hAnsi="Calibri"/>
                <w:b w:val="false"/>
                <w:bCs w:val="false"/>
                <w:sz w:val="20"/>
                <w:szCs w:val="20"/>
              </w:rPr>
              <w:t xml:space="preserve">Front (lak)</w:t>
            </w:r>
          </w:p>
        </w:tc>
        <w:tc>
          <w:tcPr>
            <w:tcW w:type="dxa" w:w="2400"/>
          </w:tcPr>
          <w:p>
            <w:r>
              <w:rPr>
                <w:rFonts w:ascii="Calibri" w:cs="Calibri" w:eastAsia="Calibri" w:hAnsi="Calibri"/>
                <w:b w:val="false"/>
                <w:bCs w:val="false"/>
                <w:sz w:val="20"/>
                <w:szCs w:val="20"/>
              </w:rPr>
              <w:t xml:space="preserve">MDF gelakt</w:t>
            </w:r>
          </w:p>
        </w:tc>
        <w:tc>
          <w:tcPr>
            <w:tcW w:type="dxa" w:w="1400"/>
          </w:tcPr>
          <w:p>
            <w:r>
              <w:rPr>
                <w:rFonts w:ascii="Calibri" w:cs="Calibri" w:eastAsia="Calibri" w:hAnsi="Calibri"/>
                <w:b w:val="false"/>
                <w:bCs w:val="false"/>
                <w:sz w:val="20"/>
                <w:szCs w:val="20"/>
              </w:rPr>
              <w:t xml:space="preserve">19 mm</w:t>
            </w:r>
          </w:p>
        </w:tc>
        <w:tc>
          <w:tcPr>
            <w:tcW w:type="dxa" w:w="2600"/>
          </w:tcPr>
          <w:p>
            <w:r>
              <w:rPr>
                <w:rFonts w:ascii="Calibri" w:cs="Calibri" w:eastAsia="Calibri" w:hAnsi="Calibri"/>
                <w:b w:val="false"/>
                <w:bCs w:val="false"/>
                <w:sz w:val="20"/>
                <w:szCs w:val="20"/>
              </w:rPr>
              <w:t xml:space="preserve">Supermat of hoogglans</w:t>
            </w:r>
          </w:p>
        </w:tc>
        <w:tc>
          <w:tcPr>
            <w:tcW w:type="dxa" w:w="2600"/>
          </w:tcPr>
          <w:p>
            <w:r>
              <w:rPr>
                <w:rFonts w:ascii="Calibri" w:cs="Calibri" w:eastAsia="Calibri" w:hAnsi="Calibri"/>
                <w:b w:val="false"/>
                <w:bCs w:val="false"/>
                <w:sz w:val="20"/>
                <w:szCs w:val="20"/>
              </w:rPr>
              <w:t xml:space="preserve">Grifflos</w:t>
            </w:r>
          </w:p>
        </w:tc>
      </w:tr>
      <w:tr>
        <w:tc>
          <w:tcPr>
            <w:tcW w:type="dxa" w:w="2200"/>
          </w:tcPr>
          <w:p>
            <w:r>
              <w:rPr>
                <w:rFonts w:ascii="Calibri" w:cs="Calibri" w:eastAsia="Calibri" w:hAnsi="Calibri"/>
                <w:b w:val="false"/>
                <w:bCs w:val="false"/>
                <w:sz w:val="20"/>
                <w:szCs w:val="20"/>
              </w:rPr>
              <w:t xml:space="preserve">Front (Fenix)</w:t>
            </w:r>
          </w:p>
        </w:tc>
        <w:tc>
          <w:tcPr>
            <w:tcW w:type="dxa" w:w="2400"/>
          </w:tcPr>
          <w:p>
            <w:r>
              <w:rPr>
                <w:rFonts w:ascii="Calibri" w:cs="Calibri" w:eastAsia="Calibri" w:hAnsi="Calibri"/>
                <w:b w:val="false"/>
                <w:bCs w:val="false"/>
                <w:sz w:val="20"/>
                <w:szCs w:val="20"/>
              </w:rPr>
              <w:t xml:space="preserve">Fenix NTM</w:t>
            </w:r>
          </w:p>
        </w:tc>
        <w:tc>
          <w:tcPr>
            <w:tcW w:type="dxa" w:w="1400"/>
          </w:tcPr>
          <w:p>
            <w:r>
              <w:rPr>
                <w:rFonts w:ascii="Calibri" w:cs="Calibri" w:eastAsia="Calibri" w:hAnsi="Calibri"/>
                <w:b w:val="false"/>
                <w:bCs w:val="false"/>
                <w:sz w:val="20"/>
                <w:szCs w:val="20"/>
              </w:rPr>
              <w:t xml:space="preserve">18 mm</w:t>
            </w:r>
          </w:p>
        </w:tc>
        <w:tc>
          <w:tcPr>
            <w:tcW w:type="dxa" w:w="2600"/>
          </w:tcPr>
          <w:p>
            <w:r>
              <w:rPr>
                <w:rFonts w:ascii="Calibri" w:cs="Calibri" w:eastAsia="Calibri" w:hAnsi="Calibri"/>
                <w:b w:val="false"/>
                <w:bCs w:val="false"/>
                <w:sz w:val="20"/>
                <w:szCs w:val="20"/>
              </w:rPr>
              <w:t xml:space="preserve">Mat, thermisch gelast</w:t>
            </w:r>
          </w:p>
        </w:tc>
        <w:tc>
          <w:tcPr>
            <w:tcW w:type="dxa" w:w="2600"/>
          </w:tcPr>
          <w:p>
            <w:r>
              <w:rPr>
                <w:rFonts w:ascii="Calibri" w:cs="Calibri" w:eastAsia="Calibri" w:hAnsi="Calibri"/>
                <w:b w:val="false"/>
                <w:bCs w:val="false"/>
                <w:sz w:val="20"/>
                <w:szCs w:val="20"/>
              </w:rPr>
              <w:t xml:space="preserve">Anti-fingerprint</w:t>
            </w:r>
          </w:p>
        </w:tc>
      </w:tr>
      <w:tr>
        <w:tc>
          <w:tcPr>
            <w:tcW w:type="dxa" w:w="2200"/>
          </w:tcPr>
          <w:p>
            <w:r>
              <w:rPr>
                <w:rFonts w:ascii="Calibri" w:cs="Calibri" w:eastAsia="Calibri" w:hAnsi="Calibri"/>
                <w:b w:val="false"/>
                <w:bCs w:val="false"/>
                <w:sz w:val="20"/>
                <w:szCs w:val="20"/>
              </w:rPr>
              <w:t xml:space="preserve">Front (keramiek)</w:t>
            </w:r>
          </w:p>
        </w:tc>
        <w:tc>
          <w:tcPr>
            <w:tcW w:type="dxa" w:w="2400"/>
          </w:tcPr>
          <w:p>
            <w:r>
              <w:rPr>
                <w:rFonts w:ascii="Calibri" w:cs="Calibri" w:eastAsia="Calibri" w:hAnsi="Calibri"/>
                <w:b w:val="false"/>
                <w:bCs w:val="false"/>
                <w:sz w:val="20"/>
                <w:szCs w:val="20"/>
              </w:rPr>
              <w:t xml:space="preserve">Keramische composietplaat</w:t>
            </w:r>
          </w:p>
        </w:tc>
        <w:tc>
          <w:tcPr>
            <w:tcW w:type="dxa" w:w="1400"/>
          </w:tcPr>
          <w:p>
            <w:r>
              <w:rPr>
                <w:rFonts w:ascii="Calibri" w:cs="Calibri" w:eastAsia="Calibri" w:hAnsi="Calibri"/>
                <w:b w:val="false"/>
                <w:bCs w:val="false"/>
                <w:sz w:val="20"/>
                <w:szCs w:val="20"/>
              </w:rPr>
              <w:t xml:space="preserve">12 mm</w:t>
            </w:r>
          </w:p>
        </w:tc>
        <w:tc>
          <w:tcPr>
            <w:tcW w:type="dxa" w:w="2600"/>
          </w:tcPr>
          <w:p>
            <w:r>
              <w:rPr>
                <w:rFonts w:ascii="Calibri" w:cs="Calibri" w:eastAsia="Calibri" w:hAnsi="Calibri"/>
                <w:b w:val="false"/>
                <w:bCs w:val="false"/>
                <w:sz w:val="20"/>
                <w:szCs w:val="20"/>
              </w:rPr>
              <w:t xml:space="preserve">Hoogglans of mat</w:t>
            </w:r>
          </w:p>
        </w:tc>
        <w:tc>
          <w:tcPr>
            <w:tcW w:type="dxa" w:w="2600"/>
          </w:tcPr>
          <w:p>
            <w:r>
              <w:rPr>
                <w:rFonts w:ascii="Calibri" w:cs="Calibri" w:eastAsia="Calibri" w:hAnsi="Calibri"/>
                <w:b w:val="false"/>
                <w:bCs w:val="false"/>
                <w:sz w:val="20"/>
                <w:szCs w:val="20"/>
              </w:rPr>
              <w:t xml:space="preserve">Hitte- en krasbestendig</w:t>
            </w:r>
          </w:p>
        </w:tc>
      </w:tr>
      <w:tr>
        <w:tc>
          <w:tcPr>
            <w:tcW w:type="dxa" w:w="2200"/>
          </w:tcPr>
          <w:p>
            <w:r>
              <w:rPr>
                <w:rFonts w:ascii="Calibri" w:cs="Calibri" w:eastAsia="Calibri" w:hAnsi="Calibri"/>
                <w:b w:val="false"/>
                <w:bCs w:val="false"/>
                <w:sz w:val="20"/>
                <w:szCs w:val="20"/>
              </w:rPr>
              <w:t xml:space="preserve">Werkblad</w:t>
            </w:r>
          </w:p>
        </w:tc>
        <w:tc>
          <w:tcPr>
            <w:tcW w:type="dxa" w:w="2400"/>
          </w:tcPr>
          <w:p>
            <w:r>
              <w:rPr>
                <w:rFonts w:ascii="Calibri" w:cs="Calibri" w:eastAsia="Calibri" w:hAnsi="Calibri"/>
                <w:b w:val="false"/>
                <w:bCs w:val="false"/>
                <w:sz w:val="20"/>
                <w:szCs w:val="20"/>
              </w:rPr>
              <w:t xml:space="preserve">Compact laminaat</w:t>
            </w:r>
          </w:p>
        </w:tc>
        <w:tc>
          <w:tcPr>
            <w:tcW w:type="dxa" w:w="1400"/>
          </w:tcPr>
          <w:p>
            <w:r>
              <w:rPr>
                <w:rFonts w:ascii="Calibri" w:cs="Calibri" w:eastAsia="Calibri" w:hAnsi="Calibri"/>
                <w:b w:val="false"/>
                <w:bCs w:val="false"/>
                <w:sz w:val="20"/>
                <w:szCs w:val="20"/>
              </w:rPr>
              <w:t xml:space="preserve">20 mm</w:t>
            </w:r>
          </w:p>
        </w:tc>
        <w:tc>
          <w:tcPr>
            <w:tcW w:type="dxa" w:w="2600"/>
          </w:tcPr>
          <w:p>
            <w:r>
              <w:rPr>
                <w:rFonts w:ascii="Calibri" w:cs="Calibri" w:eastAsia="Calibri" w:hAnsi="Calibri"/>
                <w:b w:val="false"/>
                <w:bCs w:val="false"/>
                <w:sz w:val="20"/>
                <w:szCs w:val="20"/>
              </w:rPr>
              <w:t xml:space="preserve">Diverse decors</w:t>
            </w:r>
          </w:p>
        </w:tc>
        <w:tc>
          <w:tcPr>
            <w:tcW w:type="dxa" w:w="2600"/>
          </w:tcPr>
          <w:p>
            <w:r>
              <w:rPr>
                <w:rFonts w:ascii="Calibri" w:cs="Calibri" w:eastAsia="Calibri" w:hAnsi="Calibri"/>
                <w:b w:val="false"/>
                <w:bCs w:val="false"/>
                <w:sz w:val="20"/>
                <w:szCs w:val="20"/>
              </w:rPr>
              <w:t xml:space="preserve">Optioneel: natuursteen</w:t>
            </w:r>
          </w:p>
        </w:tc>
      </w:tr>
      <w:tr>
        <w:tc>
          <w:tcPr>
            <w:tcW w:type="dxa" w:w="2200"/>
          </w:tcPr>
          <w:p>
            <w:r>
              <w:rPr>
                <w:rFonts w:ascii="Calibri" w:cs="Calibri" w:eastAsia="Calibri" w:hAnsi="Calibri"/>
                <w:b w:val="false"/>
                <w:bCs w:val="false"/>
                <w:sz w:val="20"/>
                <w:szCs w:val="20"/>
              </w:rPr>
              <w:t xml:space="preserve">Legbord</w:t>
            </w:r>
          </w:p>
        </w:tc>
        <w:tc>
          <w:tcPr>
            <w:tcW w:type="dxa" w:w="2400"/>
          </w:tcPr>
          <w:p>
            <w:r>
              <w:rPr>
                <w:rFonts w:ascii="Calibri" w:cs="Calibri" w:eastAsia="Calibri" w:hAnsi="Calibri"/>
                <w:b w:val="false"/>
                <w:bCs w:val="false"/>
                <w:sz w:val="20"/>
                <w:szCs w:val="20"/>
              </w:rPr>
              <w:t xml:space="preserve">Spaanplaat</w:t>
            </w:r>
          </w:p>
        </w:tc>
        <w:tc>
          <w:tcPr>
            <w:tcW w:type="dxa" w:w="1400"/>
          </w:tcPr>
          <w:p>
            <w:r>
              <w:rPr>
                <w:rFonts w:ascii="Calibri" w:cs="Calibri" w:eastAsia="Calibri" w:hAnsi="Calibri"/>
                <w:b w:val="false"/>
                <w:bCs w:val="false"/>
                <w:sz w:val="20"/>
                <w:szCs w:val="20"/>
              </w:rPr>
              <w:t xml:space="preserve">19 mm</w:t>
            </w:r>
          </w:p>
        </w:tc>
        <w:tc>
          <w:tcPr>
            <w:tcW w:type="dxa" w:w="2600"/>
          </w:tcPr>
          <w:p>
            <w:r>
              <w:rPr>
                <w:rFonts w:ascii="Calibri" w:cs="Calibri" w:eastAsia="Calibri" w:hAnsi="Calibri"/>
                <w:b w:val="false"/>
                <w:bCs w:val="false"/>
                <w:sz w:val="20"/>
                <w:szCs w:val="20"/>
              </w:rPr>
              <w:t xml:space="preserve">Melamine gecoat</w:t>
            </w:r>
          </w:p>
        </w:tc>
        <w:tc>
          <w:tcPr>
            <w:tcW w:type="dxa" w:w="2600"/>
          </w:tcPr>
          <w:p>
            <w:r>
              <w:rPr>
                <w:rFonts w:ascii="Calibri" w:cs="Calibri" w:eastAsia="Calibri" w:hAnsi="Calibri"/>
                <w:b w:val="false"/>
                <w:bCs w:val="false"/>
                <w:sz w:val="20"/>
                <w:szCs w:val="20"/>
              </w:rPr>
              <w:t xml:space="preserve">Belastbaar tot 25 kg</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Alle korpusmaterialen voldoen aan emissieklasse E1 en zijn PEFC-gecertificeerd. Het gebruik van houtdecor kent natuurlijke variaties in structuur en kleurtoon, wat geen reden voor reclamatie vormt.</w:t>
      </w:r>
    </w:p>
    <w:p>
      <w:pPr>
        <w:pStyle w:val="Heading2"/>
        <w:spacing w:after="100" w:before="200"/>
      </w:pPr>
      <w:r>
        <w:t xml:space="preserve">2.1 Duurzaamheid en certificering</w:t>
      </w:r>
    </w:p>
    <w:p>
      <w:pPr>
        <w:spacing w:after="120"/>
      </w:pPr>
      <w:r>
        <w:rPr>
          <w:rFonts w:ascii="Calibri" w:cs="Calibri" w:eastAsia="Calibri" w:hAnsi="Calibri"/>
        </w:rPr>
        <w:t xml:space="preserve">Alle in Solide 200 gebruikte houtachtige materialen zijn afkomstig uit PEFC-gecertificeerd bosbeheer. Het lakken van de frontvarianten gebeurt met emissiearme lakken die voldoen aan de criteria van de Blauwe Engel. De productie van de korpus verloopt klimaatneutraal.</w:t>
      </w:r>
    </w:p>
    <w:p>
      <w:pPr>
        <w:spacing w:after="120"/>
      </w:pPr>
      <w:r>
        <w:rPr>
          <w:rFonts w:ascii="Calibri" w:cs="Calibri" w:eastAsia="Calibri" w:hAnsi="Calibri"/>
        </w:rPr>
        <w:t xml:space="preserve">Voor klanten met een verhoogde duurzaamheidswens is optioneel de Greenline-uitvoering leverbaar, waarbij een verhoogd recyclaatpercentage in de spaanplaat van de korpus wordt toegepast.</w:t>
      </w:r>
    </w:p>
    <w:p>
      <w:pPr>
        <w:pStyle w:val="Heading1"/>
        <w:spacing w:after="150" w:before="300"/>
      </w:pPr>
      <w:r>
        <w:t xml:space="preserve">3. Afmetingen en modules</w:t>
      </w:r>
    </w:p>
    <w:p>
      <w:pPr>
        <w:spacing w:after="120"/>
      </w:pPr>
      <w:r>
        <w:rPr>
          <w:rFonts w:ascii="Calibri" w:cs="Calibri" w:eastAsia="Calibri" w:hAnsi="Calibri"/>
        </w:rPr>
        <w:t xml:space="preserve">Het Solide 200 systeem is leverbaar in de volgende standaard modulebreedtes. Alle maten in millimeter.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3000"/>
      </w:tblGrid>
      <w:tr>
        <w:trPr>
          <w:tblHeader/>
        </w:trPr>
        <w:tc>
          <w:tcPr>
            <w:tcW w:type="dxa" w:w="2400"/>
            <w:shd w:fill="D9D9D9" w:val="clear"/>
          </w:tcPr>
          <w:p>
            <w:r>
              <w:rPr>
                <w:rFonts w:ascii="Calibri" w:cs="Calibri" w:eastAsia="Calibri" w:hAnsi="Calibri"/>
                <w:b/>
                <w:bCs/>
                <w:sz w:val="20"/>
                <w:szCs w:val="20"/>
              </w:rPr>
              <w:t xml:space="preserve">Modulebenaming</w:t>
            </w:r>
          </w:p>
        </w:tc>
        <w:tc>
          <w:tcPr>
            <w:tcW w:type="dxa" w:w="1600"/>
            <w:shd w:fill="D9D9D9" w:val="clear"/>
          </w:tcPr>
          <w:p>
            <w:r>
              <w:rPr>
                <w:rFonts w:ascii="Calibri" w:cs="Calibri" w:eastAsia="Calibri" w:hAnsi="Calibri"/>
                <w:b/>
                <w:bCs/>
                <w:sz w:val="20"/>
                <w:szCs w:val="20"/>
              </w:rPr>
              <w:t xml:space="preserve">Breedte (mm)</w:t>
            </w:r>
          </w:p>
        </w:tc>
        <w:tc>
          <w:tcPr>
            <w:tcW w:type="dxa" w:w="1600"/>
            <w:shd w:fill="D9D9D9" w:val="clear"/>
          </w:tcPr>
          <w:p>
            <w:r>
              <w:rPr>
                <w:rFonts w:ascii="Calibri" w:cs="Calibri" w:eastAsia="Calibri" w:hAnsi="Calibri"/>
                <w:b/>
                <w:bCs/>
                <w:sz w:val="20"/>
                <w:szCs w:val="20"/>
              </w:rPr>
              <w:t xml:space="preserve">Hoogte (mm)</w:t>
            </w:r>
          </w:p>
        </w:tc>
        <w:tc>
          <w:tcPr>
            <w:tcW w:type="dxa" w:w="1600"/>
            <w:shd w:fill="D9D9D9" w:val="clear"/>
          </w:tcPr>
          <w:p>
            <w:r>
              <w:rPr>
                <w:rFonts w:ascii="Calibri" w:cs="Calibri" w:eastAsia="Calibri" w:hAnsi="Calibri"/>
                <w:b/>
                <w:bCs/>
                <w:sz w:val="20"/>
                <w:szCs w:val="20"/>
              </w:rPr>
              <w:t xml:space="preserve">Diepte (mm)</w:t>
            </w:r>
          </w:p>
        </w:tc>
        <w:tc>
          <w:tcPr>
            <w:tcW w:type="dxa" w:w="3000"/>
            <w:shd w:fill="D9D9D9" w:val="clear"/>
          </w:tcPr>
          <w:p>
            <w:r>
              <w:rPr>
                <w:rFonts w:ascii="Calibri" w:cs="Calibri" w:eastAsia="Calibri" w:hAnsi="Calibri"/>
                <w:b/>
                <w:bCs/>
                <w:sz w:val="20"/>
                <w:szCs w:val="20"/>
              </w:rPr>
              <w:t xml:space="preserve">Moduletype</w:t>
            </w:r>
          </w:p>
        </w:tc>
      </w:tr>
      <w:tr>
        <w:tc>
          <w:tcPr>
            <w:tcW w:type="dxa" w:w="2400"/>
          </w:tcPr>
          <w:p>
            <w:r>
              <w:rPr>
                <w:rFonts w:ascii="Calibri" w:cs="Calibri" w:eastAsia="Calibri" w:hAnsi="Calibri"/>
                <w:b w:val="false"/>
                <w:bCs w:val="false"/>
                <w:sz w:val="20"/>
                <w:szCs w:val="20"/>
              </w:rPr>
              <w:t xml:space="preserve">SD200-M40</w:t>
            </w:r>
          </w:p>
        </w:tc>
        <w:tc>
          <w:tcPr>
            <w:tcW w:type="dxa" w:w="1600"/>
          </w:tcPr>
          <w:p>
            <w:r>
              <w:rPr>
                <w:rFonts w:ascii="Calibri" w:cs="Calibri" w:eastAsia="Calibri" w:hAnsi="Calibri"/>
                <w:b w:val="false"/>
                <w:bCs w:val="false"/>
                <w:sz w:val="20"/>
                <w:szCs w:val="20"/>
              </w:rPr>
              <w:t xml:space="preserve">400</w:t>
            </w:r>
          </w:p>
        </w:tc>
        <w:tc>
          <w:tcPr>
            <w:tcW w:type="dxa" w:w="1600"/>
          </w:tcPr>
          <w:p>
            <w:r>
              <w:rPr>
                <w:rFonts w:ascii="Calibri" w:cs="Calibri" w:eastAsia="Calibri" w:hAnsi="Calibri"/>
                <w:b w:val="false"/>
                <w:bCs w:val="false"/>
                <w:sz w:val="20"/>
                <w:szCs w:val="20"/>
              </w:rPr>
              <w:t xml:space="preserve">720</w:t>
            </w:r>
          </w:p>
        </w:tc>
        <w:tc>
          <w:tcPr>
            <w:tcW w:type="dxa" w:w="1600"/>
          </w:tcPr>
          <w:p>
            <w:r>
              <w:rPr>
                <w:rFonts w:ascii="Calibri" w:cs="Calibri" w:eastAsia="Calibri" w:hAnsi="Calibri"/>
                <w:b w:val="false"/>
                <w:bCs w:val="false"/>
                <w:sz w:val="20"/>
                <w:szCs w:val="20"/>
              </w:rPr>
              <w:t xml:space="preserve">560</w:t>
            </w:r>
          </w:p>
        </w:tc>
        <w:tc>
          <w:tcPr>
            <w:tcW w:type="dxa" w:w="3000"/>
          </w:tcPr>
          <w:p>
            <w:r>
              <w:rPr>
                <w:rFonts w:ascii="Calibri" w:cs="Calibri" w:eastAsia="Calibri" w:hAnsi="Calibri"/>
                <w:b w:val="false"/>
                <w:bCs w:val="false"/>
                <w:sz w:val="20"/>
                <w:szCs w:val="20"/>
              </w:rPr>
              <w:t xml:space="preserve">Onderkast, 1 deur</w:t>
            </w:r>
          </w:p>
        </w:tc>
      </w:tr>
      <w:tr>
        <w:tc>
          <w:tcPr>
            <w:tcW w:type="dxa" w:w="2400"/>
          </w:tcPr>
          <w:p>
            <w:r>
              <w:rPr>
                <w:rFonts w:ascii="Calibri" w:cs="Calibri" w:eastAsia="Calibri" w:hAnsi="Calibri"/>
                <w:b w:val="false"/>
                <w:bCs w:val="false"/>
                <w:sz w:val="20"/>
                <w:szCs w:val="20"/>
              </w:rPr>
              <w:t xml:space="preserve">SD200-M50</w:t>
            </w:r>
          </w:p>
        </w:tc>
        <w:tc>
          <w:tcPr>
            <w:tcW w:type="dxa" w:w="1600"/>
          </w:tcPr>
          <w:p>
            <w:r>
              <w:rPr>
                <w:rFonts w:ascii="Calibri" w:cs="Calibri" w:eastAsia="Calibri" w:hAnsi="Calibri"/>
                <w:b w:val="false"/>
                <w:bCs w:val="false"/>
                <w:sz w:val="20"/>
                <w:szCs w:val="20"/>
              </w:rPr>
              <w:t xml:space="preserve">500</w:t>
            </w:r>
          </w:p>
        </w:tc>
        <w:tc>
          <w:tcPr>
            <w:tcW w:type="dxa" w:w="1600"/>
          </w:tcPr>
          <w:p>
            <w:r>
              <w:rPr>
                <w:rFonts w:ascii="Calibri" w:cs="Calibri" w:eastAsia="Calibri" w:hAnsi="Calibri"/>
                <w:b w:val="false"/>
                <w:bCs w:val="false"/>
                <w:sz w:val="20"/>
                <w:szCs w:val="20"/>
              </w:rPr>
              <w:t xml:space="preserve">720</w:t>
            </w:r>
          </w:p>
        </w:tc>
        <w:tc>
          <w:tcPr>
            <w:tcW w:type="dxa" w:w="1600"/>
          </w:tcPr>
          <w:p>
            <w:r>
              <w:rPr>
                <w:rFonts w:ascii="Calibri" w:cs="Calibri" w:eastAsia="Calibri" w:hAnsi="Calibri"/>
                <w:b w:val="false"/>
                <w:bCs w:val="false"/>
                <w:sz w:val="20"/>
                <w:szCs w:val="20"/>
              </w:rPr>
              <w:t xml:space="preserve">560</w:t>
            </w:r>
          </w:p>
        </w:tc>
        <w:tc>
          <w:tcPr>
            <w:tcW w:type="dxa" w:w="3000"/>
          </w:tcPr>
          <w:p>
            <w:r>
              <w:rPr>
                <w:rFonts w:ascii="Calibri" w:cs="Calibri" w:eastAsia="Calibri" w:hAnsi="Calibri"/>
                <w:b w:val="false"/>
                <w:bCs w:val="false"/>
                <w:sz w:val="20"/>
                <w:szCs w:val="20"/>
              </w:rPr>
              <w:t xml:space="preserve">Onderkast, 1 lade</w:t>
            </w:r>
          </w:p>
        </w:tc>
      </w:tr>
      <w:tr>
        <w:tc>
          <w:tcPr>
            <w:tcW w:type="dxa" w:w="2400"/>
          </w:tcPr>
          <w:p>
            <w:r>
              <w:rPr>
                <w:rFonts w:ascii="Calibri" w:cs="Calibri" w:eastAsia="Calibri" w:hAnsi="Calibri"/>
                <w:b w:val="false"/>
                <w:bCs w:val="false"/>
                <w:sz w:val="20"/>
                <w:szCs w:val="20"/>
              </w:rPr>
              <w:t xml:space="preserve">SD200-M60</w:t>
            </w:r>
          </w:p>
        </w:tc>
        <w:tc>
          <w:tcPr>
            <w:tcW w:type="dxa" w:w="1600"/>
          </w:tcPr>
          <w:p>
            <w:r>
              <w:rPr>
                <w:rFonts w:ascii="Calibri" w:cs="Calibri" w:eastAsia="Calibri" w:hAnsi="Calibri"/>
                <w:b w:val="false"/>
                <w:bCs w:val="false"/>
                <w:sz w:val="20"/>
                <w:szCs w:val="20"/>
              </w:rPr>
              <w:t xml:space="preserve">600</w:t>
            </w:r>
          </w:p>
        </w:tc>
        <w:tc>
          <w:tcPr>
            <w:tcW w:type="dxa" w:w="1600"/>
          </w:tcPr>
          <w:p>
            <w:r>
              <w:rPr>
                <w:rFonts w:ascii="Calibri" w:cs="Calibri" w:eastAsia="Calibri" w:hAnsi="Calibri"/>
                <w:b w:val="false"/>
                <w:bCs w:val="false"/>
                <w:sz w:val="20"/>
                <w:szCs w:val="20"/>
              </w:rPr>
              <w:t xml:space="preserve">720</w:t>
            </w:r>
          </w:p>
        </w:tc>
        <w:tc>
          <w:tcPr>
            <w:tcW w:type="dxa" w:w="1600"/>
          </w:tcPr>
          <w:p>
            <w:r>
              <w:rPr>
                <w:rFonts w:ascii="Calibri" w:cs="Calibri" w:eastAsia="Calibri" w:hAnsi="Calibri"/>
                <w:b w:val="false"/>
                <w:bCs w:val="false"/>
                <w:sz w:val="20"/>
                <w:szCs w:val="20"/>
              </w:rPr>
              <w:t xml:space="preserve">560</w:t>
            </w:r>
          </w:p>
        </w:tc>
        <w:tc>
          <w:tcPr>
            <w:tcW w:type="dxa" w:w="3000"/>
          </w:tcPr>
          <w:p>
            <w:r>
              <w:rPr>
                <w:rFonts w:ascii="Calibri" w:cs="Calibri" w:eastAsia="Calibri" w:hAnsi="Calibri"/>
                <w:b w:val="false"/>
                <w:bCs w:val="false"/>
                <w:sz w:val="20"/>
                <w:szCs w:val="20"/>
              </w:rPr>
              <w:t xml:space="preserve">Onderkast, 2 deuren</w:t>
            </w:r>
          </w:p>
        </w:tc>
      </w:tr>
      <w:tr>
        <w:tc>
          <w:tcPr>
            <w:tcW w:type="dxa" w:w="2400"/>
          </w:tcPr>
          <w:p>
            <w:r>
              <w:rPr>
                <w:rFonts w:ascii="Calibri" w:cs="Calibri" w:eastAsia="Calibri" w:hAnsi="Calibri"/>
                <w:b w:val="false"/>
                <w:bCs w:val="false"/>
                <w:sz w:val="20"/>
                <w:szCs w:val="20"/>
              </w:rPr>
              <w:t xml:space="preserve">SD200-M90</w:t>
            </w:r>
          </w:p>
        </w:tc>
        <w:tc>
          <w:tcPr>
            <w:tcW w:type="dxa" w:w="1600"/>
          </w:tcPr>
          <w:p>
            <w:r>
              <w:rPr>
                <w:rFonts w:ascii="Calibri" w:cs="Calibri" w:eastAsia="Calibri" w:hAnsi="Calibri"/>
                <w:b w:val="false"/>
                <w:bCs w:val="false"/>
                <w:sz w:val="20"/>
                <w:szCs w:val="20"/>
              </w:rPr>
              <w:t xml:space="preserve">900</w:t>
            </w:r>
          </w:p>
        </w:tc>
        <w:tc>
          <w:tcPr>
            <w:tcW w:type="dxa" w:w="1600"/>
          </w:tcPr>
          <w:p>
            <w:r>
              <w:rPr>
                <w:rFonts w:ascii="Calibri" w:cs="Calibri" w:eastAsia="Calibri" w:hAnsi="Calibri"/>
                <w:b w:val="false"/>
                <w:bCs w:val="false"/>
                <w:sz w:val="20"/>
                <w:szCs w:val="20"/>
              </w:rPr>
              <w:t xml:space="preserve">720</w:t>
            </w:r>
          </w:p>
        </w:tc>
        <w:tc>
          <w:tcPr>
            <w:tcW w:type="dxa" w:w="1600"/>
          </w:tcPr>
          <w:p>
            <w:r>
              <w:rPr>
                <w:rFonts w:ascii="Calibri" w:cs="Calibri" w:eastAsia="Calibri" w:hAnsi="Calibri"/>
                <w:b w:val="false"/>
                <w:bCs w:val="false"/>
                <w:sz w:val="20"/>
                <w:szCs w:val="20"/>
              </w:rPr>
              <w:t xml:space="preserve">560</w:t>
            </w:r>
          </w:p>
        </w:tc>
        <w:tc>
          <w:tcPr>
            <w:tcW w:type="dxa" w:w="3000"/>
          </w:tcPr>
          <w:p>
            <w:r>
              <w:rPr>
                <w:rFonts w:ascii="Calibri" w:cs="Calibri" w:eastAsia="Calibri" w:hAnsi="Calibri"/>
                <w:b w:val="false"/>
                <w:bCs w:val="false"/>
                <w:sz w:val="20"/>
                <w:szCs w:val="20"/>
              </w:rPr>
              <w:t xml:space="preserve">Onderkast, hoekkast</w:t>
            </w:r>
          </w:p>
        </w:tc>
      </w:tr>
      <w:tr>
        <w:tc>
          <w:tcPr>
            <w:tcW w:type="dxa" w:w="2400"/>
          </w:tcPr>
          <w:p>
            <w:r>
              <w:rPr>
                <w:rFonts w:ascii="Calibri" w:cs="Calibri" w:eastAsia="Calibri" w:hAnsi="Calibri"/>
                <w:b w:val="false"/>
                <w:bCs w:val="false"/>
                <w:sz w:val="20"/>
                <w:szCs w:val="20"/>
              </w:rPr>
              <w:t xml:space="preserve">SD200-H40</w:t>
            </w:r>
          </w:p>
        </w:tc>
        <w:tc>
          <w:tcPr>
            <w:tcW w:type="dxa" w:w="1600"/>
          </w:tcPr>
          <w:p>
            <w:r>
              <w:rPr>
                <w:rFonts w:ascii="Calibri" w:cs="Calibri" w:eastAsia="Calibri" w:hAnsi="Calibri"/>
                <w:b w:val="false"/>
                <w:bCs w:val="false"/>
                <w:sz w:val="20"/>
                <w:szCs w:val="20"/>
              </w:rPr>
              <w:t xml:space="preserve">400</w:t>
            </w:r>
          </w:p>
        </w:tc>
        <w:tc>
          <w:tcPr>
            <w:tcW w:type="dxa" w:w="1600"/>
          </w:tcPr>
          <w:p>
            <w:r>
              <w:rPr>
                <w:rFonts w:ascii="Calibri" w:cs="Calibri" w:eastAsia="Calibri" w:hAnsi="Calibri"/>
                <w:b w:val="false"/>
                <w:bCs w:val="false"/>
                <w:sz w:val="20"/>
                <w:szCs w:val="20"/>
              </w:rPr>
              <w:t xml:space="preserve">2140</w:t>
            </w:r>
          </w:p>
        </w:tc>
        <w:tc>
          <w:tcPr>
            <w:tcW w:type="dxa" w:w="1600"/>
          </w:tcPr>
          <w:p>
            <w:r>
              <w:rPr>
                <w:rFonts w:ascii="Calibri" w:cs="Calibri" w:eastAsia="Calibri" w:hAnsi="Calibri"/>
                <w:b w:val="false"/>
                <w:bCs w:val="false"/>
                <w:sz w:val="20"/>
                <w:szCs w:val="20"/>
              </w:rPr>
              <w:t xml:space="preserve">350</w:t>
            </w:r>
          </w:p>
        </w:tc>
        <w:tc>
          <w:tcPr>
            <w:tcW w:type="dxa" w:w="3000"/>
          </w:tcPr>
          <w:p>
            <w:r>
              <w:rPr>
                <w:rFonts w:ascii="Calibri" w:cs="Calibri" w:eastAsia="Calibri" w:hAnsi="Calibri"/>
                <w:b w:val="false"/>
                <w:bCs w:val="false"/>
                <w:sz w:val="20"/>
                <w:szCs w:val="20"/>
              </w:rPr>
              <w:t xml:space="preserve">Hoge kast, laden</w:t>
            </w:r>
          </w:p>
        </w:tc>
      </w:tr>
      <w:tr>
        <w:tc>
          <w:tcPr>
            <w:tcW w:type="dxa" w:w="2400"/>
          </w:tcPr>
          <w:p>
            <w:r>
              <w:rPr>
                <w:rFonts w:ascii="Calibri" w:cs="Calibri" w:eastAsia="Calibri" w:hAnsi="Calibri"/>
                <w:b w:val="false"/>
                <w:bCs w:val="false"/>
                <w:sz w:val="20"/>
                <w:szCs w:val="20"/>
              </w:rPr>
              <w:t xml:space="preserve">SD200-H60</w:t>
            </w:r>
          </w:p>
        </w:tc>
        <w:tc>
          <w:tcPr>
            <w:tcW w:type="dxa" w:w="1600"/>
          </w:tcPr>
          <w:p>
            <w:r>
              <w:rPr>
                <w:rFonts w:ascii="Calibri" w:cs="Calibri" w:eastAsia="Calibri" w:hAnsi="Calibri"/>
                <w:b w:val="false"/>
                <w:bCs w:val="false"/>
                <w:sz w:val="20"/>
                <w:szCs w:val="20"/>
              </w:rPr>
              <w:t xml:space="preserve">600</w:t>
            </w:r>
          </w:p>
        </w:tc>
        <w:tc>
          <w:tcPr>
            <w:tcW w:type="dxa" w:w="1600"/>
          </w:tcPr>
          <w:p>
            <w:r>
              <w:rPr>
                <w:rFonts w:ascii="Calibri" w:cs="Calibri" w:eastAsia="Calibri" w:hAnsi="Calibri"/>
                <w:b w:val="false"/>
                <w:bCs w:val="false"/>
                <w:sz w:val="20"/>
                <w:szCs w:val="20"/>
              </w:rPr>
              <w:t xml:space="preserve">2140</w:t>
            </w:r>
          </w:p>
        </w:tc>
        <w:tc>
          <w:tcPr>
            <w:tcW w:type="dxa" w:w="1600"/>
          </w:tcPr>
          <w:p>
            <w:r>
              <w:rPr>
                <w:rFonts w:ascii="Calibri" w:cs="Calibri" w:eastAsia="Calibri" w:hAnsi="Calibri"/>
                <w:b w:val="false"/>
                <w:bCs w:val="false"/>
                <w:sz w:val="20"/>
                <w:szCs w:val="20"/>
              </w:rPr>
              <w:t xml:space="preserve">350</w:t>
            </w:r>
          </w:p>
        </w:tc>
        <w:tc>
          <w:tcPr>
            <w:tcW w:type="dxa" w:w="3000"/>
          </w:tcPr>
          <w:p>
            <w:r>
              <w:rPr>
                <w:rFonts w:ascii="Calibri" w:cs="Calibri" w:eastAsia="Calibri" w:hAnsi="Calibri"/>
                <w:b w:val="false"/>
                <w:bCs w:val="false"/>
                <w:sz w:val="20"/>
                <w:szCs w:val="20"/>
              </w:rPr>
              <w:t xml:space="preserve">Hoge kast, oven</w:t>
            </w:r>
          </w:p>
        </w:tc>
      </w:tr>
      <w:tr>
        <w:tc>
          <w:tcPr>
            <w:tcW w:type="dxa" w:w="2400"/>
          </w:tcPr>
          <w:p>
            <w:r>
              <w:rPr>
                <w:rFonts w:ascii="Calibri" w:cs="Calibri" w:eastAsia="Calibri" w:hAnsi="Calibri"/>
                <w:b w:val="false"/>
                <w:bCs w:val="false"/>
                <w:sz w:val="20"/>
                <w:szCs w:val="20"/>
              </w:rPr>
              <w:t xml:space="preserve">SD200-O40</w:t>
            </w:r>
          </w:p>
        </w:tc>
        <w:tc>
          <w:tcPr>
            <w:tcW w:type="dxa" w:w="1600"/>
          </w:tcPr>
          <w:p>
            <w:r>
              <w:rPr>
                <w:rFonts w:ascii="Calibri" w:cs="Calibri" w:eastAsia="Calibri" w:hAnsi="Calibri"/>
                <w:b w:val="false"/>
                <w:bCs w:val="false"/>
                <w:sz w:val="20"/>
                <w:szCs w:val="20"/>
              </w:rPr>
              <w:t xml:space="preserve">400</w:t>
            </w:r>
          </w:p>
        </w:tc>
        <w:tc>
          <w:tcPr>
            <w:tcW w:type="dxa" w:w="1600"/>
          </w:tcPr>
          <w:p>
            <w:r>
              <w:rPr>
                <w:rFonts w:ascii="Calibri" w:cs="Calibri" w:eastAsia="Calibri" w:hAnsi="Calibri"/>
                <w:b w:val="false"/>
                <w:bCs w:val="false"/>
                <w:sz w:val="20"/>
                <w:szCs w:val="20"/>
              </w:rPr>
              <w:t xml:space="preserve">720</w:t>
            </w:r>
          </w:p>
        </w:tc>
        <w:tc>
          <w:tcPr>
            <w:tcW w:type="dxa" w:w="1600"/>
          </w:tcPr>
          <w:p>
            <w:r>
              <w:rPr>
                <w:rFonts w:ascii="Calibri" w:cs="Calibri" w:eastAsia="Calibri" w:hAnsi="Calibri"/>
                <w:b w:val="false"/>
                <w:bCs w:val="false"/>
                <w:sz w:val="20"/>
                <w:szCs w:val="20"/>
              </w:rPr>
              <w:t xml:space="preserve">320</w:t>
            </w:r>
          </w:p>
        </w:tc>
        <w:tc>
          <w:tcPr>
            <w:tcW w:type="dxa" w:w="3000"/>
          </w:tcPr>
          <w:p>
            <w:r>
              <w:rPr>
                <w:rFonts w:ascii="Calibri" w:cs="Calibri" w:eastAsia="Calibri" w:hAnsi="Calibri"/>
                <w:b w:val="false"/>
                <w:bCs w:val="false"/>
                <w:sz w:val="20"/>
                <w:szCs w:val="20"/>
              </w:rPr>
              <w:t xml:space="preserve">Bovenkast, 1 deur</w:t>
            </w:r>
          </w:p>
        </w:tc>
      </w:tr>
      <w:tr>
        <w:tc>
          <w:tcPr>
            <w:tcW w:type="dxa" w:w="2400"/>
          </w:tcPr>
          <w:p>
            <w:r>
              <w:rPr>
                <w:rFonts w:ascii="Calibri" w:cs="Calibri" w:eastAsia="Calibri" w:hAnsi="Calibri"/>
                <w:b w:val="false"/>
                <w:bCs w:val="false"/>
                <w:sz w:val="20"/>
                <w:szCs w:val="20"/>
              </w:rPr>
              <w:t xml:space="preserve">SD200-O60</w:t>
            </w:r>
          </w:p>
        </w:tc>
        <w:tc>
          <w:tcPr>
            <w:tcW w:type="dxa" w:w="1600"/>
          </w:tcPr>
          <w:p>
            <w:r>
              <w:rPr>
                <w:rFonts w:ascii="Calibri" w:cs="Calibri" w:eastAsia="Calibri" w:hAnsi="Calibri"/>
                <w:b w:val="false"/>
                <w:bCs w:val="false"/>
                <w:sz w:val="20"/>
                <w:szCs w:val="20"/>
              </w:rPr>
              <w:t xml:space="preserve">600</w:t>
            </w:r>
          </w:p>
        </w:tc>
        <w:tc>
          <w:tcPr>
            <w:tcW w:type="dxa" w:w="1600"/>
          </w:tcPr>
          <w:p>
            <w:r>
              <w:rPr>
                <w:rFonts w:ascii="Calibri" w:cs="Calibri" w:eastAsia="Calibri" w:hAnsi="Calibri"/>
                <w:b w:val="false"/>
                <w:bCs w:val="false"/>
                <w:sz w:val="20"/>
                <w:szCs w:val="20"/>
              </w:rPr>
              <w:t xml:space="preserve">720</w:t>
            </w:r>
          </w:p>
        </w:tc>
        <w:tc>
          <w:tcPr>
            <w:tcW w:type="dxa" w:w="1600"/>
          </w:tcPr>
          <w:p>
            <w:r>
              <w:rPr>
                <w:rFonts w:ascii="Calibri" w:cs="Calibri" w:eastAsia="Calibri" w:hAnsi="Calibri"/>
                <w:b w:val="false"/>
                <w:bCs w:val="false"/>
                <w:sz w:val="20"/>
                <w:szCs w:val="20"/>
              </w:rPr>
              <w:t xml:space="preserve">320</w:t>
            </w:r>
          </w:p>
        </w:tc>
        <w:tc>
          <w:tcPr>
            <w:tcW w:type="dxa" w:w="3000"/>
          </w:tcPr>
          <w:p>
            <w:r>
              <w:rPr>
                <w:rFonts w:ascii="Calibri" w:cs="Calibri" w:eastAsia="Calibri" w:hAnsi="Calibri"/>
                <w:b w:val="false"/>
                <w:bCs w:val="false"/>
                <w:sz w:val="20"/>
                <w:szCs w:val="20"/>
              </w:rPr>
              <w:t xml:space="preserve">Bovenkast, klep</w:t>
            </w:r>
          </w:p>
        </w:tc>
      </w:tr>
      <w:tr>
        <w:tc>
          <w:tcPr>
            <w:tcW w:type="dxa" w:w="2400"/>
          </w:tcPr>
          <w:p>
            <w:r>
              <w:rPr>
                <w:rFonts w:ascii="Calibri" w:cs="Calibri" w:eastAsia="Calibri" w:hAnsi="Calibri"/>
                <w:b w:val="false"/>
                <w:bCs w:val="false"/>
                <w:sz w:val="20"/>
                <w:szCs w:val="20"/>
              </w:rPr>
              <w:t xml:space="preserve">SD200-O90</w:t>
            </w:r>
          </w:p>
        </w:tc>
        <w:tc>
          <w:tcPr>
            <w:tcW w:type="dxa" w:w="1600"/>
          </w:tcPr>
          <w:p>
            <w:r>
              <w:rPr>
                <w:rFonts w:ascii="Calibri" w:cs="Calibri" w:eastAsia="Calibri" w:hAnsi="Calibri"/>
                <w:b w:val="false"/>
                <w:bCs w:val="false"/>
                <w:sz w:val="20"/>
                <w:szCs w:val="20"/>
              </w:rPr>
              <w:t xml:space="preserve">900</w:t>
            </w:r>
          </w:p>
        </w:tc>
        <w:tc>
          <w:tcPr>
            <w:tcW w:type="dxa" w:w="1600"/>
          </w:tcPr>
          <w:p>
            <w:r>
              <w:rPr>
                <w:rFonts w:ascii="Calibri" w:cs="Calibri" w:eastAsia="Calibri" w:hAnsi="Calibri"/>
                <w:b w:val="false"/>
                <w:bCs w:val="false"/>
                <w:sz w:val="20"/>
                <w:szCs w:val="20"/>
              </w:rPr>
              <w:t xml:space="preserve">720</w:t>
            </w:r>
          </w:p>
        </w:tc>
        <w:tc>
          <w:tcPr>
            <w:tcW w:type="dxa" w:w="1600"/>
          </w:tcPr>
          <w:p>
            <w:r>
              <w:rPr>
                <w:rFonts w:ascii="Calibri" w:cs="Calibri" w:eastAsia="Calibri" w:hAnsi="Calibri"/>
                <w:b w:val="false"/>
                <w:bCs w:val="false"/>
                <w:sz w:val="20"/>
                <w:szCs w:val="20"/>
              </w:rPr>
              <w:t xml:space="preserve">320</w:t>
            </w:r>
          </w:p>
        </w:tc>
        <w:tc>
          <w:tcPr>
            <w:tcW w:type="dxa" w:w="3000"/>
          </w:tcPr>
          <w:p>
            <w:r>
              <w:rPr>
                <w:rFonts w:ascii="Calibri" w:cs="Calibri" w:eastAsia="Calibri" w:hAnsi="Calibri"/>
                <w:b w:val="false"/>
                <w:bCs w:val="false"/>
                <w:sz w:val="20"/>
                <w:szCs w:val="20"/>
              </w:rPr>
              <w:t xml:space="preserve">Bovenkast, 2 deuren</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De korpushoogte is leverbaar in drie varianten (700 mm, 720 mm en 760 mm) om een ergonomische aanpassing aan verschillende ruimtelijke omstandigheden mogelijk te maken. De plinthoogte bedraagt standaard 100 mm en is uitbreidbaar tot 170 mm.</w:t>
      </w:r>
    </w:p>
    <w:p>
      <w:pPr>
        <w:pStyle w:val="Heading2"/>
        <w:spacing w:after="100" w:before="200"/>
      </w:pPr>
      <w:r>
        <w:t xml:space="preserve">3.1 Bijzondere breedtes</w:t>
      </w:r>
    </w:p>
    <w:p>
      <w:pPr>
        <w:spacing w:after="120"/>
      </w:pPr>
      <w:r>
        <w:rPr>
          <w:rFonts w:ascii="Calibri" w:cs="Calibri" w:eastAsia="Calibri" w:hAnsi="Calibri"/>
        </w:rPr>
        <w:t xml:space="preserve">Naast de in bovenstaande tabel genoemde standaardbreedtes zijn voor onderkastmodules ook tussenmaten in stappen van 20 mm mogelijk, indien dit voor een passende ruimte-indeling noodzakelijk is. Bijzondere breedtes kennen een verlengde levertijd van twee tot drie weken.</w:t>
      </w:r>
    </w:p>
    <w:p>
      <w:pPr>
        <w:pStyle w:val="Heading1"/>
        <w:spacing w:after="150" w:before="300"/>
      </w:pPr>
      <w:r>
        <w:t xml:space="preserve">4. Beslag en functie-elementen</w:t>
      </w:r>
    </w:p>
    <w:p>
      <w:pPr>
        <w:spacing w:after="120"/>
      </w:pPr>
      <w:r>
        <w:rPr>
          <w:rFonts w:ascii="Calibri" w:cs="Calibri" w:eastAsia="Calibri" w:hAnsi="Calibri"/>
        </w:rPr>
        <w:t xml:space="preserve">Het Solide 200 systeem maakt uitsluitend gebruik van hoogwaardig merkbeslag met softclose-functie. Laden zijn standaard uitgerust met volledige uittrekking, waardoor de gehele lade-inhoud zonder beperking toegankelijk is.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gridCol w:w="2000"/>
      </w:tblGrid>
      <w:tr>
        <w:trPr>
          <w:tblHeader/>
        </w:trPr>
        <w:tc>
          <w:tcPr>
            <w:tcW w:type="dxa" w:w="2800"/>
            <w:shd w:fill="D9D9D9" w:val="clear"/>
          </w:tcPr>
          <w:p>
            <w:r>
              <w:rPr>
                <w:rFonts w:ascii="Calibri" w:cs="Calibri" w:eastAsia="Calibri" w:hAnsi="Calibri"/>
                <w:b/>
                <w:bCs/>
                <w:sz w:val="20"/>
                <w:szCs w:val="20"/>
              </w:rPr>
              <w:t xml:space="preserve">Beslagtype</w:t>
            </w:r>
          </w:p>
        </w:tc>
        <w:tc>
          <w:tcPr>
            <w:tcW w:type="dxa" w:w="3200"/>
            <w:shd w:fill="D9D9D9" w:val="clear"/>
          </w:tcPr>
          <w:p>
            <w:r>
              <w:rPr>
                <w:rFonts w:ascii="Calibri" w:cs="Calibri" w:eastAsia="Calibri" w:hAnsi="Calibri"/>
                <w:b/>
                <w:bCs/>
                <w:sz w:val="20"/>
                <w:szCs w:val="20"/>
              </w:rPr>
              <w:t xml:space="preserve">Systeem</w:t>
            </w:r>
          </w:p>
        </w:tc>
        <w:tc>
          <w:tcPr>
            <w:tcW w:type="dxa" w:w="3200"/>
            <w:shd w:fill="D9D9D9" w:val="clear"/>
          </w:tcPr>
          <w:p>
            <w:r>
              <w:rPr>
                <w:rFonts w:ascii="Calibri" w:cs="Calibri" w:eastAsia="Calibri" w:hAnsi="Calibri"/>
                <w:b/>
                <w:bCs/>
                <w:sz w:val="20"/>
                <w:szCs w:val="20"/>
              </w:rPr>
              <w:t xml:space="preserve">Functie</w:t>
            </w:r>
          </w:p>
        </w:tc>
        <w:tc>
          <w:tcPr>
            <w:tcW w:type="dxa" w:w="2000"/>
            <w:shd w:fill="D9D9D9" w:val="clear"/>
          </w:tcPr>
          <w:p>
            <w:r>
              <w:rPr>
                <w:rFonts w:ascii="Calibri" w:cs="Calibri" w:eastAsia="Calibri" w:hAnsi="Calibri"/>
                <w:b/>
                <w:bCs/>
                <w:sz w:val="20"/>
                <w:szCs w:val="20"/>
              </w:rPr>
              <w:t xml:space="preserve">Draagkracht</w:t>
            </w:r>
          </w:p>
        </w:tc>
      </w:tr>
      <w:tr>
        <w:tc>
          <w:tcPr>
            <w:tcW w:type="dxa" w:w="2800"/>
          </w:tcPr>
          <w:p>
            <w:r>
              <w:rPr>
                <w:rFonts w:ascii="Calibri" w:cs="Calibri" w:eastAsia="Calibri" w:hAnsi="Calibri"/>
                <w:b w:val="false"/>
                <w:bCs w:val="false"/>
                <w:sz w:val="20"/>
                <w:szCs w:val="20"/>
              </w:rPr>
              <w:t xml:space="preserve">Scharnier</w:t>
            </w:r>
          </w:p>
        </w:tc>
        <w:tc>
          <w:tcPr>
            <w:tcW w:type="dxa" w:w="3200"/>
          </w:tcPr>
          <w:p>
            <w:r>
              <w:rPr>
                <w:rFonts w:ascii="Calibri" w:cs="Calibri" w:eastAsia="Calibri" w:hAnsi="Calibri"/>
                <w:b w:val="false"/>
                <w:bCs w:val="false"/>
                <w:sz w:val="20"/>
                <w:szCs w:val="20"/>
              </w:rPr>
              <w:t xml:space="preserve">Standaardscharnier 110°</w:t>
            </w:r>
          </w:p>
        </w:tc>
        <w:tc>
          <w:tcPr>
            <w:tcW w:type="dxa" w:w="3200"/>
          </w:tcPr>
          <w:p>
            <w:r>
              <w:rPr>
                <w:rFonts w:ascii="Calibri" w:cs="Calibri" w:eastAsia="Calibri" w:hAnsi="Calibri"/>
                <w:b w:val="false"/>
                <w:bCs w:val="false"/>
                <w:sz w:val="20"/>
                <w:szCs w:val="20"/>
              </w:rPr>
              <w:t xml:space="preserve">Softclose, 3-voudig verstelbaar</w:t>
            </w:r>
          </w:p>
        </w:tc>
        <w:tc>
          <w:tcPr>
            <w:tcW w:type="dxa" w:w="2000"/>
          </w:tcPr>
          <w:p>
            <w:r>
              <w:rPr>
                <w:rFonts w:ascii="Calibri" w:cs="Calibri" w:eastAsia="Calibri" w:hAnsi="Calibri"/>
                <w:b w:val="false"/>
                <w:bCs w:val="false"/>
                <w:sz w:val="20"/>
                <w:szCs w:val="20"/>
              </w:rPr>
              <w:t xml:space="preserve">—</w:t>
            </w:r>
          </w:p>
        </w:tc>
      </w:tr>
      <w:tr>
        <w:tc>
          <w:tcPr>
            <w:tcW w:type="dxa" w:w="2800"/>
          </w:tcPr>
          <w:p>
            <w:r>
              <w:rPr>
                <w:rFonts w:ascii="Calibri" w:cs="Calibri" w:eastAsia="Calibri" w:hAnsi="Calibri"/>
                <w:b w:val="false"/>
                <w:bCs w:val="false"/>
                <w:sz w:val="20"/>
                <w:szCs w:val="20"/>
              </w:rPr>
              <w:t xml:space="preserve">Ladegeleider</w:t>
            </w:r>
          </w:p>
        </w:tc>
        <w:tc>
          <w:tcPr>
            <w:tcW w:type="dxa" w:w="3200"/>
          </w:tcPr>
          <w:p>
            <w:r>
              <w:rPr>
                <w:rFonts w:ascii="Calibri" w:cs="Calibri" w:eastAsia="Calibri" w:hAnsi="Calibri"/>
                <w:b w:val="false"/>
                <w:bCs w:val="false"/>
                <w:sz w:val="20"/>
                <w:szCs w:val="20"/>
              </w:rPr>
              <w:t xml:space="preserve">Volledige uittrekking, kogelgelagerd</w:t>
            </w:r>
          </w:p>
        </w:tc>
        <w:tc>
          <w:tcPr>
            <w:tcW w:type="dxa" w:w="3200"/>
          </w:tcPr>
          <w:p>
            <w:r>
              <w:rPr>
                <w:rFonts w:ascii="Calibri" w:cs="Calibri" w:eastAsia="Calibri" w:hAnsi="Calibri"/>
                <w:b w:val="false"/>
                <w:bCs w:val="false"/>
                <w:sz w:val="20"/>
                <w:szCs w:val="20"/>
              </w:rPr>
              <w:t xml:space="preserve">Softclose</w:t>
            </w:r>
          </w:p>
        </w:tc>
        <w:tc>
          <w:tcPr>
            <w:tcW w:type="dxa" w:w="2000"/>
          </w:tcPr>
          <w:p>
            <w:r>
              <w:rPr>
                <w:rFonts w:ascii="Calibri" w:cs="Calibri" w:eastAsia="Calibri" w:hAnsi="Calibri"/>
                <w:b w:val="false"/>
                <w:bCs w:val="false"/>
                <w:sz w:val="20"/>
                <w:szCs w:val="20"/>
              </w:rPr>
              <w:t xml:space="preserve">40 kg</w:t>
            </w:r>
          </w:p>
        </w:tc>
      </w:tr>
      <w:tr>
        <w:tc>
          <w:tcPr>
            <w:tcW w:type="dxa" w:w="2800"/>
          </w:tcPr>
          <w:p>
            <w:r>
              <w:rPr>
                <w:rFonts w:ascii="Calibri" w:cs="Calibri" w:eastAsia="Calibri" w:hAnsi="Calibri"/>
                <w:b w:val="false"/>
                <w:bCs w:val="false"/>
                <w:sz w:val="20"/>
                <w:szCs w:val="20"/>
              </w:rPr>
              <w:t xml:space="preserve">Klepbeslag</w:t>
            </w:r>
          </w:p>
        </w:tc>
        <w:tc>
          <w:tcPr>
            <w:tcW w:type="dxa" w:w="3200"/>
          </w:tcPr>
          <w:p>
            <w:r>
              <w:rPr>
                <w:rFonts w:ascii="Calibri" w:cs="Calibri" w:eastAsia="Calibri" w:hAnsi="Calibri"/>
                <w:b w:val="false"/>
                <w:bCs w:val="false"/>
                <w:sz w:val="20"/>
                <w:szCs w:val="20"/>
              </w:rPr>
              <w:t xml:space="preserve">Hoogzwenkbeslag</w:t>
            </w:r>
          </w:p>
        </w:tc>
        <w:tc>
          <w:tcPr>
            <w:tcW w:type="dxa" w:w="3200"/>
          </w:tcPr>
          <w:p>
            <w:r>
              <w:rPr>
                <w:rFonts w:ascii="Calibri" w:cs="Calibri" w:eastAsia="Calibri" w:hAnsi="Calibri"/>
                <w:b w:val="false"/>
                <w:bCs w:val="false"/>
                <w:sz w:val="20"/>
                <w:szCs w:val="20"/>
              </w:rPr>
              <w:t xml:space="preserve">Krachtveer, traploos</w:t>
            </w:r>
          </w:p>
        </w:tc>
        <w:tc>
          <w:tcPr>
            <w:tcW w:type="dxa" w:w="2000"/>
          </w:tcPr>
          <w:p>
            <w:r>
              <w:rPr>
                <w:rFonts w:ascii="Calibri" w:cs="Calibri" w:eastAsia="Calibri" w:hAnsi="Calibri"/>
                <w:b w:val="false"/>
                <w:bCs w:val="false"/>
                <w:sz w:val="20"/>
                <w:szCs w:val="20"/>
              </w:rPr>
              <w:t xml:space="preserve">8 kg</w:t>
            </w:r>
          </w:p>
        </w:tc>
      </w:tr>
      <w:tr>
        <w:tc>
          <w:tcPr>
            <w:tcW w:type="dxa" w:w="2800"/>
          </w:tcPr>
          <w:p>
            <w:r>
              <w:rPr>
                <w:rFonts w:ascii="Calibri" w:cs="Calibri" w:eastAsia="Calibri" w:hAnsi="Calibri"/>
                <w:b w:val="false"/>
                <w:bCs w:val="false"/>
                <w:sz w:val="20"/>
                <w:szCs w:val="20"/>
              </w:rPr>
              <w:t xml:space="preserve">Binnenlade</w:t>
            </w:r>
          </w:p>
        </w:tc>
        <w:tc>
          <w:tcPr>
            <w:tcW w:type="dxa" w:w="3200"/>
          </w:tcPr>
          <w:p>
            <w:r>
              <w:rPr>
                <w:rFonts w:ascii="Calibri" w:cs="Calibri" w:eastAsia="Calibri" w:hAnsi="Calibri"/>
                <w:b w:val="false"/>
                <w:bCs w:val="false"/>
                <w:sz w:val="20"/>
                <w:szCs w:val="20"/>
              </w:rPr>
              <w:t xml:space="preserve">Alfa-Geleidesysteem</w:t>
            </w:r>
          </w:p>
        </w:tc>
        <w:tc>
          <w:tcPr>
            <w:tcW w:type="dxa" w:w="3200"/>
          </w:tcPr>
          <w:p>
            <w:r>
              <w:rPr>
                <w:rFonts w:ascii="Calibri" w:cs="Calibri" w:eastAsia="Calibri" w:hAnsi="Calibri"/>
                <w:b w:val="false"/>
                <w:bCs w:val="false"/>
                <w:sz w:val="20"/>
                <w:szCs w:val="20"/>
              </w:rPr>
              <w:t xml:space="preserve">Zelfsluitend, gedempt</w:t>
            </w:r>
          </w:p>
        </w:tc>
        <w:tc>
          <w:tcPr>
            <w:tcW w:type="dxa" w:w="2000"/>
          </w:tcPr>
          <w:p>
            <w:r>
              <w:rPr>
                <w:rFonts w:ascii="Calibri" w:cs="Calibri" w:eastAsia="Calibri" w:hAnsi="Calibri"/>
                <w:b w:val="false"/>
                <w:bCs w:val="false"/>
                <w:sz w:val="20"/>
                <w:szCs w:val="20"/>
              </w:rPr>
              <w:t xml:space="preserve">25 kg</w:t>
            </w:r>
          </w:p>
        </w:tc>
      </w:tr>
      <w:tr>
        <w:tc>
          <w:tcPr>
            <w:tcW w:type="dxa" w:w="2800"/>
          </w:tcPr>
          <w:p>
            <w:r>
              <w:rPr>
                <w:rFonts w:ascii="Calibri" w:cs="Calibri" w:eastAsia="Calibri" w:hAnsi="Calibri"/>
                <w:b w:val="false"/>
                <w:bCs w:val="false"/>
                <w:sz w:val="20"/>
                <w:szCs w:val="20"/>
              </w:rPr>
              <w:t xml:space="preserve">Greeplijst</w:t>
            </w:r>
          </w:p>
        </w:tc>
        <w:tc>
          <w:tcPr>
            <w:tcW w:type="dxa" w:w="3200"/>
          </w:tcPr>
          <w:p>
            <w:r>
              <w:rPr>
                <w:rFonts w:ascii="Calibri" w:cs="Calibri" w:eastAsia="Calibri" w:hAnsi="Calibri"/>
                <w:b w:val="false"/>
                <w:bCs w:val="false"/>
                <w:sz w:val="20"/>
                <w:szCs w:val="20"/>
              </w:rPr>
              <w:t xml:space="preserve">Aluminium geanodiseerd</w:t>
            </w:r>
          </w:p>
        </w:tc>
        <w:tc>
          <w:tcPr>
            <w:tcW w:type="dxa" w:w="32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Het Alfa-Geleidesysteem wordt toegepast bij de binnenladen van de hoge kasten en kenmerkt zich door een bijzonder rustige loopeigenschap. Nadere technische specificaties zijn op te vragen bij de beslagfabrikant.</w:t>
      </w:r>
    </w:p>
    <w:p>
      <w:pPr>
        <w:pStyle w:val="Heading2"/>
        <w:spacing w:after="100" w:before="200"/>
      </w:pPr>
      <w:r>
        <w:t xml:space="preserve">4.1 Afstelling en onderhoud van het beslag</w:t>
      </w:r>
    </w:p>
    <w:p>
      <w:pPr>
        <w:spacing w:after="120"/>
      </w:pPr>
      <w:r>
        <w:rPr>
          <w:rFonts w:ascii="Calibri" w:cs="Calibri" w:eastAsia="Calibri" w:hAnsi="Calibri"/>
        </w:rPr>
        <w:t xml:space="preserve">Scharnieren zijn standaard drievoudig verstelbaar (hoogte, zijde, aandrukkracht) en maken een millimeternauwkeurige naregeling van de fronten mogelijk na de eerste montage. Een naregeling wordt met name aanbevolen na de eerste weken van gebruik, omdat korpusverbindingen enigszins kunnen zetten.</w:t>
      </w:r>
    </w:p>
    <w:p>
      <w:pPr>
        <w:spacing w:after="120"/>
      </w:pPr>
      <w:r>
        <w:rPr>
          <w:rFonts w:ascii="Calibri" w:cs="Calibri" w:eastAsia="Calibri" w:hAnsi="Calibri"/>
        </w:rPr>
        <w:t xml:space="preserve">Ladegeleiders met softclose-functie zijn onderhoudsvrij en dienen niet met olie behandeld te worden, aangezien dit de dempingseigenschappen kan aantasten.</w:t>
      </w:r>
    </w:p>
    <w:p>
      <w:pPr>
        <w:pStyle w:val="Heading1"/>
        <w:spacing w:after="150" w:before="300"/>
      </w:pPr>
      <w:r>
        <w:t xml:space="preserve">5. Constructie en montage</w:t>
      </w:r>
    </w:p>
    <w:p>
      <w:pPr>
        <w:spacing w:after="120"/>
      </w:pPr>
      <w:r>
        <w:rPr>
          <w:rFonts w:ascii="Calibri" w:cs="Calibri" w:eastAsia="Calibri" w:hAnsi="Calibri"/>
        </w:rPr>
        <w:t xml:space="preserve">De korpus wordt fabrieksmatig voorgemonteerd geleverd en via verbindingsbeslag (excenterverbinders) aan de naastgelegen kasten gekoppeld. De montage vindt plaats volgens het bijgevoegde montageplan door erkend vakpersoneel.</w:t>
      </w:r>
    </w:p>
    <w:p>
      <w:pPr>
        <w:spacing w:after="120"/>
      </w:pPr>
      <w:r>
        <w:rPr>
          <w:rFonts w:ascii="Calibri" w:cs="Calibri" w:eastAsia="Calibri" w:hAnsi="Calibri"/>
        </w:rPr>
        <w:t xml:space="preserve">Bij de montage dient gelet te worden op een waterpas uitlijning van de korpus. Afwijkingen van meer dan 2 mm per strekkende meter kunnen leiden tot pasproblemen bij de fronten.</w:t>
      </w:r>
    </w:p>
    <w:p>
      <w:pPr>
        <w:spacing w:after="120"/>
      </w:pPr>
      <w:r>
        <w:rPr>
          <w:rFonts w:ascii="Calibri" w:cs="Calibri" w:eastAsia="Calibri" w:hAnsi="Calibri"/>
        </w:rPr>
        <w:t xml:space="preserve">De achterwand van de korpus is standaard dubbel bruikbaar uitgevoerd en maakt desgewenst het achteraf inbouwen van LED-verlichting mogelijk. Elektrische aansluitingen dienen uitsluitend door een erkend elektricien te worden aangelegd.</w:t>
      </w:r>
    </w:p>
    <w:p>
      <w:pPr>
        <w:pStyle w:val="Heading2"/>
        <w:spacing w:after="100" w:before="200"/>
      </w:pPr>
      <w:r>
        <w:t xml:space="preserve">5.1 Montagevolgorde</w:t>
      </w:r>
    </w:p>
    <w:p>
      <w:pPr>
        <w:spacing w:after="120"/>
      </w:pPr>
      <w:r>
        <w:rPr>
          <w:rFonts w:ascii="Calibri" w:cs="Calibri" w:eastAsia="Calibri" w:hAnsi="Calibri"/>
        </w:rPr>
        <w:t xml:space="preserve">De montage van de onderkastmodules verloopt in de volgende volgorde: eerst het uitlijnen en bevestigen van de stelpoten, vervolgens het plaatsen en verbinden van de korpuselementen, daarna de montage van het werkblad en tot slot het afstellen van de fronten inclusief beslagjustering.</w:t>
      </w:r>
    </w:p>
    <w:p>
      <w:pPr>
        <w:spacing w:after="120"/>
      </w:pPr>
      <w:r>
        <w:rPr>
          <w:rFonts w:ascii="Calibri" w:cs="Calibri" w:eastAsia="Calibri" w:hAnsi="Calibri"/>
        </w:rPr>
        <w:t xml:space="preserve">Bij hoge kastmodules dient extra aandacht besteed te worden aan een voldoende wandbevestiging, met name bij een belasting van meer dan 15 kg per legbord.</w:t>
      </w:r>
    </w:p>
    <w:p>
      <w:pPr>
        <w:pStyle w:val="Heading2"/>
        <w:spacing w:after="100" w:before="200"/>
      </w:pPr>
      <w:r>
        <w:t xml:space="preserve">5.2 Elektro- en sanitaire aansluitingen</w:t>
      </w:r>
    </w:p>
    <w:p>
      <w:pPr>
        <w:spacing w:after="120"/>
      </w:pPr>
      <w:r>
        <w:rPr>
          <w:rFonts w:ascii="Calibri" w:cs="Calibri" w:eastAsia="Calibri" w:hAnsi="Calibri"/>
        </w:rPr>
        <w:t xml:space="preserve">Module SD200-M60 (spoelkast) beschikt over een fabrieksmatig voorbereide uitsparing voor aan- en afvoerleidingen. De exacte positie is terug te vinden in het bijgevoegde montageplan en kan afhankelijk van de gekozen spoelbakuitvoering enigszins variëren.</w:t>
      </w:r>
    </w:p>
    <w:p>
      <w:pPr>
        <w:spacing w:after="120"/>
      </w:pPr>
      <w:r>
        <w:rPr>
          <w:rFonts w:ascii="Calibri" w:cs="Calibri" w:eastAsia="Calibri" w:hAnsi="Calibri"/>
        </w:rPr>
        <w:t xml:space="preserve">Elektrische aansluitingen voor de LED-binnenverlichting alsmede voor inbouwapparatuur dienen in beginsel vóór de definitieve montage van de achterwand te worden aangelegd, aangezien deze in gemonteerde toestand slechts beperkt toegankelijk zijn.</w:t>
      </w:r>
    </w:p>
    <w:p>
      <w:pPr>
        <w:pStyle w:val="Heading1"/>
        <w:spacing w:after="150" w:before="300"/>
      </w:pPr>
      <w:r>
        <w:t xml:space="preserve">6. Kleur- en oppervlaktevarianten</w:t>
      </w:r>
    </w:p>
    <w:p>
      <w:pPr>
        <w:spacing w:after="120"/>
      </w:pPr>
      <w:r>
        <w:rPr>
          <w:rFonts w:ascii="Calibri" w:cs="Calibri" w:eastAsia="Calibri" w:hAnsi="Calibri"/>
        </w:rPr>
        <w:t xml:space="preserve">Hieronder een selectie van de beschikbare front- en korpuskleuren voor het systeem Solide 200.</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3000"/>
      </w:tblGrid>
      <w:tr>
        <w:trPr>
          <w:tblHeader/>
        </w:trPr>
        <w:tc>
          <w:tcPr>
            <w:tcW w:type="dxa" w:w="2000"/>
            <w:shd w:fill="D9D9D9" w:val="clear"/>
          </w:tcPr>
          <w:p>
            <w:r>
              <w:rPr>
                <w:rFonts w:ascii="Calibri" w:cs="Calibri" w:eastAsia="Calibri" w:hAnsi="Calibri"/>
                <w:b/>
                <w:bCs/>
                <w:sz w:val="20"/>
                <w:szCs w:val="20"/>
              </w:rPr>
              <w:t xml:space="preserve">Kleurcode</w:t>
            </w:r>
          </w:p>
        </w:tc>
        <w:tc>
          <w:tcPr>
            <w:tcW w:type="dxa" w:w="2600"/>
            <w:shd w:fill="D9D9D9" w:val="clear"/>
          </w:tcPr>
          <w:p>
            <w:r>
              <w:rPr>
                <w:rFonts w:ascii="Calibri" w:cs="Calibri" w:eastAsia="Calibri" w:hAnsi="Calibri"/>
                <w:b/>
                <w:bCs/>
                <w:sz w:val="20"/>
                <w:szCs w:val="20"/>
              </w:rPr>
              <w:t xml:space="preserve">Benaming</w:t>
            </w:r>
          </w:p>
        </w:tc>
        <w:tc>
          <w:tcPr>
            <w:tcW w:type="dxa" w:w="2600"/>
            <w:shd w:fill="D9D9D9" w:val="clear"/>
          </w:tcPr>
          <w:p>
            <w:r>
              <w:rPr>
                <w:rFonts w:ascii="Calibri" w:cs="Calibri" w:eastAsia="Calibri" w:hAnsi="Calibri"/>
                <w:b/>
                <w:bCs/>
                <w:sz w:val="20"/>
                <w:szCs w:val="20"/>
              </w:rPr>
              <w:t xml:space="preserve">Materiaallijn</w:t>
            </w:r>
          </w:p>
        </w:tc>
        <w:tc>
          <w:tcPr>
            <w:tcW w:type="dxa" w:w="3000"/>
            <w:shd w:fill="D9D9D9" w:val="clear"/>
          </w:tcPr>
          <w:p>
            <w:r>
              <w:rPr>
                <w:rFonts w:ascii="Calibri" w:cs="Calibri" w:eastAsia="Calibri" w:hAnsi="Calibri"/>
                <w:b/>
                <w:bCs/>
                <w:sz w:val="20"/>
                <w:szCs w:val="20"/>
              </w:rPr>
              <w:t xml:space="preserve">Oppervlak</w:t>
            </w:r>
          </w:p>
        </w:tc>
      </w:tr>
      <w:tr>
        <w:tc>
          <w:tcPr>
            <w:tcW w:type="dxa" w:w="2000"/>
          </w:tcPr>
          <w:p>
            <w:r>
              <w:rPr>
                <w:rFonts w:ascii="Calibri" w:cs="Calibri" w:eastAsia="Calibri" w:hAnsi="Calibri"/>
                <w:b w:val="false"/>
                <w:bCs w:val="false"/>
                <w:sz w:val="20"/>
                <w:szCs w:val="20"/>
              </w:rPr>
              <w:t xml:space="preserve">SD-F01</w:t>
            </w:r>
          </w:p>
        </w:tc>
        <w:tc>
          <w:tcPr>
            <w:tcW w:type="dxa" w:w="2600"/>
          </w:tcPr>
          <w:p>
            <w:r>
              <w:rPr>
                <w:rFonts w:ascii="Calibri" w:cs="Calibri" w:eastAsia="Calibri" w:hAnsi="Calibri"/>
                <w:b w:val="false"/>
                <w:bCs w:val="false"/>
                <w:sz w:val="20"/>
                <w:szCs w:val="20"/>
              </w:rPr>
              <w:t xml:space="preserve">Sneeuwwit</w:t>
            </w:r>
          </w:p>
        </w:tc>
        <w:tc>
          <w:tcPr>
            <w:tcW w:type="dxa" w:w="2600"/>
          </w:tcPr>
          <w:p>
            <w:r>
              <w:rPr>
                <w:rFonts w:ascii="Calibri" w:cs="Calibri" w:eastAsia="Calibri" w:hAnsi="Calibri"/>
                <w:b w:val="false"/>
                <w:bCs w:val="false"/>
                <w:sz w:val="20"/>
                <w:szCs w:val="20"/>
              </w:rPr>
              <w:t xml:space="preserve">Lak</w:t>
            </w:r>
          </w:p>
        </w:tc>
        <w:tc>
          <w:tcPr>
            <w:tcW w:type="dxa" w:w="3000"/>
          </w:tcPr>
          <w:p>
            <w:r>
              <w:rPr>
                <w:rFonts w:ascii="Calibri" w:cs="Calibri" w:eastAsia="Calibri" w:hAnsi="Calibri"/>
                <w:b w:val="false"/>
                <w:bCs w:val="false"/>
                <w:sz w:val="20"/>
                <w:szCs w:val="20"/>
              </w:rPr>
              <w:t xml:space="preserve">Supermat</w:t>
            </w:r>
          </w:p>
        </w:tc>
      </w:tr>
      <w:tr>
        <w:tc>
          <w:tcPr>
            <w:tcW w:type="dxa" w:w="2000"/>
          </w:tcPr>
          <w:p>
            <w:r>
              <w:rPr>
                <w:rFonts w:ascii="Calibri" w:cs="Calibri" w:eastAsia="Calibri" w:hAnsi="Calibri"/>
                <w:b w:val="false"/>
                <w:bCs w:val="false"/>
                <w:sz w:val="20"/>
                <w:szCs w:val="20"/>
              </w:rPr>
              <w:t xml:space="preserve">SD-F02</w:t>
            </w:r>
          </w:p>
        </w:tc>
        <w:tc>
          <w:tcPr>
            <w:tcW w:type="dxa" w:w="2600"/>
          </w:tcPr>
          <w:p>
            <w:r>
              <w:rPr>
                <w:rFonts w:ascii="Calibri" w:cs="Calibri" w:eastAsia="Calibri" w:hAnsi="Calibri"/>
                <w:b w:val="false"/>
                <w:bCs w:val="false"/>
                <w:sz w:val="20"/>
                <w:szCs w:val="20"/>
              </w:rPr>
              <w:t xml:space="preserve">Antracietgrijs</w:t>
            </w:r>
          </w:p>
        </w:tc>
        <w:tc>
          <w:tcPr>
            <w:tcW w:type="dxa" w:w="2600"/>
          </w:tcPr>
          <w:p>
            <w:r>
              <w:rPr>
                <w:rFonts w:ascii="Calibri" w:cs="Calibri" w:eastAsia="Calibri" w:hAnsi="Calibri"/>
                <w:b w:val="false"/>
                <w:bCs w:val="false"/>
                <w:sz w:val="20"/>
                <w:szCs w:val="20"/>
              </w:rPr>
              <w:t xml:space="preserve">Fenix</w:t>
            </w:r>
          </w:p>
        </w:tc>
        <w:tc>
          <w:tcPr>
            <w:tcW w:type="dxa" w:w="3000"/>
          </w:tcPr>
          <w:p>
            <w:r>
              <w:rPr>
                <w:rFonts w:ascii="Calibri" w:cs="Calibri" w:eastAsia="Calibri" w:hAnsi="Calibri"/>
                <w:b w:val="false"/>
                <w:bCs w:val="false"/>
                <w:sz w:val="20"/>
                <w:szCs w:val="20"/>
              </w:rPr>
              <w:t xml:space="preserve">Mat, anti-fingerprint</w:t>
            </w:r>
          </w:p>
        </w:tc>
      </w:tr>
      <w:tr>
        <w:tc>
          <w:tcPr>
            <w:tcW w:type="dxa" w:w="2000"/>
          </w:tcPr>
          <w:p>
            <w:r>
              <w:rPr>
                <w:rFonts w:ascii="Calibri" w:cs="Calibri" w:eastAsia="Calibri" w:hAnsi="Calibri"/>
                <w:b w:val="false"/>
                <w:bCs w:val="false"/>
                <w:sz w:val="20"/>
                <w:szCs w:val="20"/>
              </w:rPr>
              <w:t xml:space="preserve">SD-F03</w:t>
            </w:r>
          </w:p>
        </w:tc>
        <w:tc>
          <w:tcPr>
            <w:tcW w:type="dxa" w:w="2600"/>
          </w:tcPr>
          <w:p>
            <w:r>
              <w:rPr>
                <w:rFonts w:ascii="Calibri" w:cs="Calibri" w:eastAsia="Calibri" w:hAnsi="Calibri"/>
                <w:b w:val="false"/>
                <w:bCs w:val="false"/>
                <w:sz w:val="20"/>
                <w:szCs w:val="20"/>
              </w:rPr>
              <w:t xml:space="preserve">Zandbeige</w:t>
            </w:r>
          </w:p>
        </w:tc>
        <w:tc>
          <w:tcPr>
            <w:tcW w:type="dxa" w:w="2600"/>
          </w:tcPr>
          <w:p>
            <w:r>
              <w:rPr>
                <w:rFonts w:ascii="Calibri" w:cs="Calibri" w:eastAsia="Calibri" w:hAnsi="Calibri"/>
                <w:b w:val="false"/>
                <w:bCs w:val="false"/>
                <w:sz w:val="20"/>
                <w:szCs w:val="20"/>
              </w:rPr>
              <w:t xml:space="preserve">Lak</w:t>
            </w:r>
          </w:p>
        </w:tc>
        <w:tc>
          <w:tcPr>
            <w:tcW w:type="dxa" w:w="3000"/>
          </w:tcPr>
          <w:p>
            <w:r>
              <w:rPr>
                <w:rFonts w:ascii="Calibri" w:cs="Calibri" w:eastAsia="Calibri" w:hAnsi="Calibri"/>
                <w:b w:val="false"/>
                <w:bCs w:val="false"/>
                <w:sz w:val="20"/>
                <w:szCs w:val="20"/>
              </w:rPr>
              <w:t xml:space="preserve">Hoogglans</w:t>
            </w:r>
          </w:p>
        </w:tc>
      </w:tr>
      <w:tr>
        <w:tc>
          <w:tcPr>
            <w:tcW w:type="dxa" w:w="2000"/>
          </w:tcPr>
          <w:p>
            <w:r>
              <w:rPr>
                <w:rFonts w:ascii="Calibri" w:cs="Calibri" w:eastAsia="Calibri" w:hAnsi="Calibri"/>
                <w:b w:val="false"/>
                <w:bCs w:val="false"/>
                <w:sz w:val="20"/>
                <w:szCs w:val="20"/>
              </w:rPr>
              <w:t xml:space="preserve">SD-F04</w:t>
            </w:r>
          </w:p>
        </w:tc>
        <w:tc>
          <w:tcPr>
            <w:tcW w:type="dxa" w:w="2600"/>
          </w:tcPr>
          <w:p>
            <w:r>
              <w:rPr>
                <w:rFonts w:ascii="Calibri" w:cs="Calibri" w:eastAsia="Calibri" w:hAnsi="Calibri"/>
                <w:b w:val="false"/>
                <w:bCs w:val="false"/>
                <w:sz w:val="20"/>
                <w:szCs w:val="20"/>
              </w:rPr>
              <w:t xml:space="preserve">Bosgroen</w:t>
            </w:r>
          </w:p>
        </w:tc>
        <w:tc>
          <w:tcPr>
            <w:tcW w:type="dxa" w:w="2600"/>
          </w:tcPr>
          <w:p>
            <w:r>
              <w:rPr>
                <w:rFonts w:ascii="Calibri" w:cs="Calibri" w:eastAsia="Calibri" w:hAnsi="Calibri"/>
                <w:b w:val="false"/>
                <w:bCs w:val="false"/>
                <w:sz w:val="20"/>
                <w:szCs w:val="20"/>
              </w:rPr>
              <w:t xml:space="preserve">Fenix</w:t>
            </w:r>
          </w:p>
        </w:tc>
        <w:tc>
          <w:tcPr>
            <w:tcW w:type="dxa" w:w="3000"/>
          </w:tcPr>
          <w:p>
            <w:r>
              <w:rPr>
                <w:rFonts w:ascii="Calibri" w:cs="Calibri" w:eastAsia="Calibri" w:hAnsi="Calibri"/>
                <w:b w:val="false"/>
                <w:bCs w:val="false"/>
                <w:sz w:val="20"/>
                <w:szCs w:val="20"/>
              </w:rPr>
              <w:t xml:space="preserve">Mat</w:t>
            </w:r>
          </w:p>
        </w:tc>
      </w:tr>
      <w:tr>
        <w:tc>
          <w:tcPr>
            <w:tcW w:type="dxa" w:w="2000"/>
          </w:tcPr>
          <w:p>
            <w:r>
              <w:rPr>
                <w:rFonts w:ascii="Calibri" w:cs="Calibri" w:eastAsia="Calibri" w:hAnsi="Calibri"/>
                <w:b w:val="false"/>
                <w:bCs w:val="false"/>
                <w:sz w:val="20"/>
                <w:szCs w:val="20"/>
              </w:rPr>
              <w:t xml:space="preserve">SD-K01</w:t>
            </w:r>
          </w:p>
        </w:tc>
        <w:tc>
          <w:tcPr>
            <w:tcW w:type="dxa" w:w="2600"/>
          </w:tcPr>
          <w:p>
            <w:r>
              <w:rPr>
                <w:rFonts w:ascii="Calibri" w:cs="Calibri" w:eastAsia="Calibri" w:hAnsi="Calibri"/>
                <w:b w:val="false"/>
                <w:bCs w:val="false"/>
                <w:sz w:val="20"/>
                <w:szCs w:val="20"/>
              </w:rPr>
              <w:t xml:space="preserve">Grafietgrijs</w:t>
            </w:r>
          </w:p>
        </w:tc>
        <w:tc>
          <w:tcPr>
            <w:tcW w:type="dxa" w:w="2600"/>
          </w:tcPr>
          <w:p>
            <w:r>
              <w:rPr>
                <w:rFonts w:ascii="Calibri" w:cs="Calibri" w:eastAsia="Calibri" w:hAnsi="Calibri"/>
                <w:b w:val="false"/>
                <w:bCs w:val="false"/>
                <w:sz w:val="20"/>
                <w:szCs w:val="20"/>
              </w:rPr>
              <w:t xml:space="preserve">Korpus</w:t>
            </w:r>
          </w:p>
        </w:tc>
        <w:tc>
          <w:tcPr>
            <w:tcW w:type="dxa" w:w="3000"/>
          </w:tcPr>
          <w:p>
            <w:r>
              <w:rPr>
                <w:rFonts w:ascii="Calibri" w:cs="Calibri" w:eastAsia="Calibri" w:hAnsi="Calibri"/>
                <w:b w:val="false"/>
                <w:bCs w:val="false"/>
                <w:sz w:val="20"/>
                <w:szCs w:val="20"/>
              </w:rPr>
              <w:t xml:space="preserve">Melamine</w:t>
            </w:r>
          </w:p>
        </w:tc>
      </w:tr>
      <w:tr>
        <w:tc>
          <w:tcPr>
            <w:tcW w:type="dxa" w:w="2000"/>
          </w:tcPr>
          <w:p>
            <w:r>
              <w:rPr>
                <w:rFonts w:ascii="Calibri" w:cs="Calibri" w:eastAsia="Calibri" w:hAnsi="Calibri"/>
                <w:b w:val="false"/>
                <w:bCs w:val="false"/>
                <w:sz w:val="20"/>
                <w:szCs w:val="20"/>
              </w:rPr>
              <w:t xml:space="preserve">SD-K02</w:t>
            </w:r>
          </w:p>
        </w:tc>
        <w:tc>
          <w:tcPr>
            <w:tcW w:type="dxa" w:w="2600"/>
          </w:tcPr>
          <w:p>
            <w:r>
              <w:rPr>
                <w:rFonts w:ascii="Calibri" w:cs="Calibri" w:eastAsia="Calibri" w:hAnsi="Calibri"/>
                <w:b w:val="false"/>
                <w:bCs w:val="false"/>
                <w:sz w:val="20"/>
                <w:szCs w:val="20"/>
              </w:rPr>
              <w:t xml:space="preserve">Wit</w:t>
            </w:r>
          </w:p>
        </w:tc>
        <w:tc>
          <w:tcPr>
            <w:tcW w:type="dxa" w:w="2600"/>
          </w:tcPr>
          <w:p>
            <w:r>
              <w:rPr>
                <w:rFonts w:ascii="Calibri" w:cs="Calibri" w:eastAsia="Calibri" w:hAnsi="Calibri"/>
                <w:b w:val="false"/>
                <w:bCs w:val="false"/>
                <w:sz w:val="20"/>
                <w:szCs w:val="20"/>
              </w:rPr>
              <w:t xml:space="preserve">Korpus</w:t>
            </w:r>
          </w:p>
        </w:tc>
        <w:tc>
          <w:tcPr>
            <w:tcW w:type="dxa" w:w="3000"/>
          </w:tcPr>
          <w:p>
            <w:r>
              <w:rPr>
                <w:rFonts w:ascii="Calibri" w:cs="Calibri" w:eastAsia="Calibri" w:hAnsi="Calibri"/>
                <w:b w:val="false"/>
                <w:bCs w:val="false"/>
                <w:sz w:val="20"/>
                <w:szCs w:val="20"/>
              </w:rPr>
              <w:t xml:space="preserve">Melamine</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Front- en korpuskleuren zijn vrij met elkaar te combineren. Een actuele stalenkaart is verkrijgbaar via de vakhandel.</w:t>
      </w:r>
    </w:p>
    <w:p>
      <w:pPr>
        <w:pStyle w:val="Heading1"/>
        <w:spacing w:after="150" w:before="300"/>
      </w:pPr>
      <w:r>
        <w:t xml:space="preserve">7. Doelmarkten en uitvoeringsvarianten</w:t>
      </w:r>
    </w:p>
    <w:p>
      <w:pPr>
        <w:spacing w:after="120"/>
      </w:pPr>
      <w:r>
        <w:rPr>
          <w:rFonts w:ascii="Calibri" w:cs="Calibri" w:eastAsia="Calibri" w:hAnsi="Calibri"/>
        </w:rPr>
        <w:t xml:space="preserve">Het systeem Solide 200 wordt zowel op de Duitse thuismarkt als op meerdere Europese exportmarkten verkocht. Afhankelijk van de doelmarkt kunnen verschillende uitvoeringsaccenten en normeisen gelden.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D9D9D9" w:val="clear"/>
          </w:tcPr>
          <w:p>
            <w:r>
              <w:rPr>
                <w:rFonts w:ascii="Calibri" w:cs="Calibri" w:eastAsia="Calibri" w:hAnsi="Calibri"/>
                <w:b/>
                <w:bCs/>
                <w:sz w:val="20"/>
                <w:szCs w:val="20"/>
              </w:rPr>
              <w:t xml:space="preserve">Doelmarkt</w:t>
            </w:r>
          </w:p>
        </w:tc>
        <w:tc>
          <w:tcPr>
            <w:tcW w:type="dxa" w:w="3400"/>
            <w:shd w:fill="D9D9D9" w:val="clear"/>
          </w:tcPr>
          <w:p>
            <w:r>
              <w:rPr>
                <w:rFonts w:ascii="Calibri" w:cs="Calibri" w:eastAsia="Calibri" w:hAnsi="Calibri"/>
                <w:b/>
                <w:bCs/>
                <w:sz w:val="20"/>
                <w:szCs w:val="20"/>
              </w:rPr>
              <w:t xml:space="preserve">Uitvoeringsaccent</w:t>
            </w:r>
          </w:p>
        </w:tc>
        <w:tc>
          <w:tcPr>
            <w:tcW w:type="dxa" w:w="3000"/>
            <w:shd w:fill="D9D9D9" w:val="clear"/>
          </w:tcPr>
          <w:p>
            <w:r>
              <w:rPr>
                <w:rFonts w:ascii="Calibri" w:cs="Calibri" w:eastAsia="Calibri" w:hAnsi="Calibri"/>
                <w:b/>
                <w:bCs/>
                <w:sz w:val="20"/>
                <w:szCs w:val="20"/>
              </w:rPr>
              <w:t xml:space="preserve">Bijzonderheid</w:t>
            </w:r>
          </w:p>
        </w:tc>
      </w:tr>
      <w:tr>
        <w:tc>
          <w:tcPr>
            <w:tcW w:type="dxa" w:w="2600"/>
          </w:tcPr>
          <w:p>
            <w:r>
              <w:rPr>
                <w:rFonts w:ascii="Calibri" w:cs="Calibri" w:eastAsia="Calibri" w:hAnsi="Calibri"/>
                <w:b w:val="false"/>
                <w:bCs w:val="false"/>
                <w:sz w:val="20"/>
                <w:szCs w:val="20"/>
              </w:rPr>
              <w:t xml:space="preserve">Duitsland</w:t>
            </w:r>
          </w:p>
        </w:tc>
        <w:tc>
          <w:tcPr>
            <w:tcW w:type="dxa" w:w="3400"/>
          </w:tcPr>
          <w:p>
            <w:r>
              <w:rPr>
                <w:rFonts w:ascii="Calibri" w:cs="Calibri" w:eastAsia="Calibri" w:hAnsi="Calibri"/>
                <w:b w:val="false"/>
                <w:bCs w:val="false"/>
                <w:sz w:val="20"/>
                <w:szCs w:val="20"/>
              </w:rPr>
              <w:t xml:space="preserve">Volledige uitvoering, alle fronten</w:t>
            </w:r>
          </w:p>
        </w:tc>
        <w:tc>
          <w:tcPr>
            <w:tcW w:type="dxa" w:w="3000"/>
          </w:tcPr>
          <w:p>
            <w:r>
              <w:rPr>
                <w:rFonts w:ascii="Calibri" w:cs="Calibri" w:eastAsia="Calibri" w:hAnsi="Calibri"/>
                <w:b w:val="false"/>
                <w:bCs w:val="false"/>
                <w:sz w:val="20"/>
                <w:szCs w:val="20"/>
              </w:rPr>
              <w:t xml:space="preserve">Thuismarkt, grootste assortiment</w:t>
            </w:r>
          </w:p>
        </w:tc>
      </w:tr>
      <w:tr>
        <w:tc>
          <w:tcPr>
            <w:tcW w:type="dxa" w:w="2600"/>
          </w:tcPr>
          <w:p>
            <w:r>
              <w:rPr>
                <w:rFonts w:ascii="Calibri" w:cs="Calibri" w:eastAsia="Calibri" w:hAnsi="Calibri"/>
                <w:b w:val="false"/>
                <w:bCs w:val="false"/>
                <w:sz w:val="20"/>
                <w:szCs w:val="20"/>
              </w:rPr>
              <w:t xml:space="preserve">Nederland</w:t>
            </w:r>
          </w:p>
        </w:tc>
        <w:tc>
          <w:tcPr>
            <w:tcW w:type="dxa" w:w="3400"/>
          </w:tcPr>
          <w:p>
            <w:r>
              <w:rPr>
                <w:rFonts w:ascii="Calibri" w:cs="Calibri" w:eastAsia="Calibri" w:hAnsi="Calibri"/>
                <w:b w:val="false"/>
                <w:bCs w:val="false"/>
                <w:sz w:val="20"/>
                <w:szCs w:val="20"/>
              </w:rPr>
              <w:t xml:space="preserve">Grifflose varianten geprefereerd</w:t>
            </w:r>
          </w:p>
        </w:tc>
        <w:tc>
          <w:tcPr>
            <w:tcW w:type="dxa" w:w="3000"/>
          </w:tcPr>
          <w:p>
            <w:r>
              <w:rPr>
                <w:rFonts w:ascii="Calibri" w:cs="Calibri" w:eastAsia="Calibri" w:hAnsi="Calibri"/>
                <w:b w:val="false"/>
                <w:bCs w:val="false"/>
                <w:sz w:val="20"/>
                <w:szCs w:val="20"/>
              </w:rPr>
              <w:t xml:space="preserve">Grootste exportmarkt</w:t>
            </w:r>
          </w:p>
        </w:tc>
      </w:tr>
      <w:tr>
        <w:tc>
          <w:tcPr>
            <w:tcW w:type="dxa" w:w="2600"/>
          </w:tcPr>
          <w:p>
            <w:r>
              <w:rPr>
                <w:rFonts w:ascii="Calibri" w:cs="Calibri" w:eastAsia="Calibri" w:hAnsi="Calibri"/>
                <w:b w:val="false"/>
                <w:bCs w:val="false"/>
                <w:sz w:val="20"/>
                <w:szCs w:val="20"/>
              </w:rPr>
              <w:t xml:space="preserve">Frankrijk</w:t>
            </w:r>
          </w:p>
        </w:tc>
        <w:tc>
          <w:tcPr>
            <w:tcW w:type="dxa" w:w="3400"/>
          </w:tcPr>
          <w:p>
            <w:r>
              <w:rPr>
                <w:rFonts w:ascii="Calibri" w:cs="Calibri" w:eastAsia="Calibri" w:hAnsi="Calibri"/>
                <w:b w:val="false"/>
                <w:bCs w:val="false"/>
                <w:sz w:val="20"/>
                <w:szCs w:val="20"/>
              </w:rPr>
              <w:t xml:space="preserve">Lak- en keramiekfronten</w:t>
            </w:r>
          </w:p>
        </w:tc>
        <w:tc>
          <w:tcPr>
            <w:tcW w:type="dxa" w:w="3000"/>
          </w:tcPr>
          <w:p>
            <w:r>
              <w:rPr>
                <w:rFonts w:ascii="Calibri" w:cs="Calibri" w:eastAsia="Calibri" w:hAnsi="Calibri"/>
                <w:b w:val="false"/>
                <w:bCs w:val="false"/>
                <w:sz w:val="20"/>
                <w:szCs w:val="20"/>
              </w:rPr>
              <w:t xml:space="preserve">Groeiende markt</w:t>
            </w:r>
          </w:p>
        </w:tc>
      </w:tr>
      <w:tr>
        <w:tc>
          <w:tcPr>
            <w:tcW w:type="dxa" w:w="2600"/>
          </w:tcPr>
          <w:p>
            <w:r>
              <w:rPr>
                <w:rFonts w:ascii="Calibri" w:cs="Calibri" w:eastAsia="Calibri" w:hAnsi="Calibri"/>
                <w:b w:val="false"/>
                <w:bCs w:val="false"/>
                <w:sz w:val="20"/>
                <w:szCs w:val="20"/>
              </w:rPr>
              <w:t xml:space="preserve">Verenigd Koninkrijk</w:t>
            </w:r>
          </w:p>
        </w:tc>
        <w:tc>
          <w:tcPr>
            <w:tcW w:type="dxa" w:w="3400"/>
          </w:tcPr>
          <w:p>
            <w:r>
              <w:rPr>
                <w:rFonts w:ascii="Calibri" w:cs="Calibri" w:eastAsia="Calibri" w:hAnsi="Calibri"/>
                <w:b w:val="false"/>
                <w:bCs w:val="false"/>
                <w:sz w:val="20"/>
                <w:szCs w:val="20"/>
              </w:rPr>
              <w:t xml:space="preserve">Echt hout geprefereerd</w:t>
            </w:r>
          </w:p>
        </w:tc>
        <w:tc>
          <w:tcPr>
            <w:tcW w:type="dxa" w:w="3000"/>
          </w:tcPr>
          <w:p>
            <w:r>
              <w:rPr>
                <w:rFonts w:ascii="Calibri" w:cs="Calibri" w:eastAsia="Calibri" w:hAnsi="Calibri"/>
                <w:b w:val="false"/>
                <w:bCs w:val="false"/>
                <w:sz w:val="20"/>
                <w:szCs w:val="20"/>
              </w:rPr>
              <w:t xml:space="preserve">Groeiende markt</w:t>
            </w:r>
          </w:p>
        </w:tc>
      </w:tr>
      <w:tr>
        <w:tc>
          <w:tcPr>
            <w:tcW w:type="dxa" w:w="2600"/>
          </w:tcPr>
          <w:p>
            <w:r>
              <w:rPr>
                <w:rFonts w:ascii="Calibri" w:cs="Calibri" w:eastAsia="Calibri" w:hAnsi="Calibri"/>
                <w:b w:val="false"/>
                <w:bCs w:val="false"/>
                <w:sz w:val="20"/>
                <w:szCs w:val="20"/>
              </w:rPr>
              <w:t xml:space="preserve">Scandinavië</w:t>
            </w:r>
          </w:p>
        </w:tc>
        <w:tc>
          <w:tcPr>
            <w:tcW w:type="dxa" w:w="3400"/>
          </w:tcPr>
          <w:p>
            <w:r>
              <w:rPr>
                <w:rFonts w:ascii="Calibri" w:cs="Calibri" w:eastAsia="Calibri" w:hAnsi="Calibri"/>
                <w:b w:val="false"/>
                <w:bCs w:val="false"/>
                <w:sz w:val="20"/>
                <w:szCs w:val="20"/>
              </w:rPr>
              <w:t xml:space="preserve">Lichte korpuskleuren, Greenline</w:t>
            </w:r>
          </w:p>
        </w:tc>
        <w:tc>
          <w:tcPr>
            <w:tcW w:type="dxa" w:w="3000"/>
          </w:tcPr>
          <w:p>
            <w:r>
              <w:rPr>
                <w:rFonts w:ascii="Calibri" w:cs="Calibri" w:eastAsia="Calibri" w:hAnsi="Calibri"/>
                <w:b w:val="false"/>
                <w:bCs w:val="false"/>
                <w:sz w:val="20"/>
                <w:szCs w:val="20"/>
              </w:rPr>
              <w:t xml:space="preserve">Hoge duurzaamheidseis</w:t>
            </w:r>
          </w:p>
        </w:tc>
      </w:tr>
    </w:tbl>
    <w:p>
      <w:pPr>
        <w:pStyle w:val="Heading1"/>
        <w:spacing w:after="150" w:before="300"/>
      </w:pPr>
      <w:r>
        <w:t xml:space="preserve">8. Accessoires</w:t>
      </w:r>
    </w:p>
    <w:p>
      <w:pPr>
        <w:spacing w:after="120"/>
      </w:pPr>
      <w:r>
        <w:rPr>
          <w:rFonts w:ascii="Calibri" w:cs="Calibri" w:eastAsia="Calibri" w:hAnsi="Calibri"/>
        </w:rPr>
        <w:t xml:space="preserve">Voor het systeem Solide 200 is de volgende accessoirelijn leverbaar: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800"/>
      </w:tblGrid>
      <w:tr>
        <w:trPr>
          <w:tblHeader/>
        </w:trPr>
        <w:tc>
          <w:tcPr>
            <w:tcW w:type="dxa" w:w="3400"/>
            <w:shd w:fill="D9D9D9" w:val="clear"/>
          </w:tcPr>
          <w:p>
            <w:r>
              <w:rPr>
                <w:rFonts w:ascii="Calibri" w:cs="Calibri" w:eastAsia="Calibri" w:hAnsi="Calibri"/>
                <w:b/>
                <w:bCs/>
                <w:sz w:val="20"/>
                <w:szCs w:val="20"/>
              </w:rPr>
              <w:t xml:space="preserve">Artikelbenaming</w:t>
            </w:r>
          </w:p>
        </w:tc>
        <w:tc>
          <w:tcPr>
            <w:tcW w:type="dxa" w:w="3000"/>
            <w:shd w:fill="D9D9D9" w:val="clear"/>
          </w:tcPr>
          <w:p>
            <w:r>
              <w:rPr>
                <w:rFonts w:ascii="Calibri" w:cs="Calibri" w:eastAsia="Calibri" w:hAnsi="Calibri"/>
                <w:b/>
                <w:bCs/>
                <w:sz w:val="20"/>
                <w:szCs w:val="20"/>
              </w:rPr>
              <w:t xml:space="preserve">Toepassingsgebied</w:t>
            </w:r>
          </w:p>
        </w:tc>
        <w:tc>
          <w:tcPr>
            <w:tcW w:type="dxa" w:w="2800"/>
            <w:shd w:fill="D9D9D9" w:val="clear"/>
          </w:tcPr>
          <w:p>
            <w:r>
              <w:rPr>
                <w:rFonts w:ascii="Calibri" w:cs="Calibri" w:eastAsia="Calibri" w:hAnsi="Calibri"/>
                <w:b/>
                <w:bCs/>
                <w:sz w:val="20"/>
                <w:szCs w:val="20"/>
              </w:rPr>
              <w:t xml:space="preserve">Artikelnummer</w:t>
            </w:r>
          </w:p>
        </w:tc>
      </w:tr>
      <w:tr>
        <w:tc>
          <w:tcPr>
            <w:tcW w:type="dxa" w:w="3400"/>
          </w:tcPr>
          <w:p>
            <w:r>
              <w:rPr>
                <w:rFonts w:ascii="Calibri" w:cs="Calibri" w:eastAsia="Calibri" w:hAnsi="Calibri"/>
                <w:b w:val="false"/>
                <w:bCs w:val="false"/>
                <w:sz w:val="20"/>
                <w:szCs w:val="20"/>
              </w:rPr>
              <w:t xml:space="preserve">Bestekindeling kunststof</w:t>
            </w:r>
          </w:p>
        </w:tc>
        <w:tc>
          <w:tcPr>
            <w:tcW w:type="dxa" w:w="3000"/>
          </w:tcPr>
          <w:p>
            <w:r>
              <w:rPr>
                <w:rFonts w:ascii="Calibri" w:cs="Calibri" w:eastAsia="Calibri" w:hAnsi="Calibri"/>
                <w:b w:val="false"/>
                <w:bCs w:val="false"/>
                <w:sz w:val="20"/>
                <w:szCs w:val="20"/>
              </w:rPr>
              <w:t xml:space="preserve">Lade M50/M60</w:t>
            </w:r>
          </w:p>
        </w:tc>
        <w:tc>
          <w:tcPr>
            <w:tcW w:type="dxa" w:w="2800"/>
          </w:tcPr>
          <w:p>
            <w:r>
              <w:rPr>
                <w:rFonts w:ascii="Calibri" w:cs="Calibri" w:eastAsia="Calibri" w:hAnsi="Calibri"/>
                <w:b w:val="false"/>
                <w:bCs w:val="false"/>
                <w:sz w:val="20"/>
                <w:szCs w:val="20"/>
              </w:rPr>
              <w:t xml:space="preserve">RP-SD200-3301</w:t>
            </w:r>
          </w:p>
        </w:tc>
      </w:tr>
      <w:tr>
        <w:tc>
          <w:tcPr>
            <w:tcW w:type="dxa" w:w="3400"/>
          </w:tcPr>
          <w:p>
            <w:r>
              <w:rPr>
                <w:rFonts w:ascii="Calibri" w:cs="Calibri" w:eastAsia="Calibri" w:hAnsi="Calibri"/>
                <w:b w:val="false"/>
                <w:bCs w:val="false"/>
                <w:sz w:val="20"/>
                <w:szCs w:val="20"/>
              </w:rPr>
              <w:t xml:space="preserve">Kruidenlade smal</w:t>
            </w:r>
          </w:p>
        </w:tc>
        <w:tc>
          <w:tcPr>
            <w:tcW w:type="dxa" w:w="3000"/>
          </w:tcPr>
          <w:p>
            <w:r>
              <w:rPr>
                <w:rFonts w:ascii="Calibri" w:cs="Calibri" w:eastAsia="Calibri" w:hAnsi="Calibri"/>
                <w:b w:val="false"/>
                <w:bCs w:val="false"/>
                <w:sz w:val="20"/>
                <w:szCs w:val="20"/>
              </w:rPr>
              <w:t xml:space="preserve">Hoge kast H40</w:t>
            </w:r>
          </w:p>
        </w:tc>
        <w:tc>
          <w:tcPr>
            <w:tcW w:type="dxa" w:w="2800"/>
          </w:tcPr>
          <w:p>
            <w:r>
              <w:rPr>
                <w:rFonts w:ascii="Calibri" w:cs="Calibri" w:eastAsia="Calibri" w:hAnsi="Calibri"/>
                <w:b w:val="false"/>
                <w:bCs w:val="false"/>
                <w:sz w:val="20"/>
                <w:szCs w:val="20"/>
              </w:rPr>
              <w:t xml:space="preserve">RP-SD200-3312</w:t>
            </w:r>
          </w:p>
        </w:tc>
      </w:tr>
      <w:tr>
        <w:tc>
          <w:tcPr>
            <w:tcW w:type="dxa" w:w="3400"/>
          </w:tcPr>
          <w:p>
            <w:r>
              <w:rPr>
                <w:rFonts w:ascii="Calibri" w:cs="Calibri" w:eastAsia="Calibri" w:hAnsi="Calibri"/>
                <w:b w:val="false"/>
                <w:bCs w:val="false"/>
                <w:sz w:val="20"/>
                <w:szCs w:val="20"/>
              </w:rPr>
              <w:t xml:space="preserve">Afvalscheidingssysteem 2-voudig</w:t>
            </w:r>
          </w:p>
        </w:tc>
        <w:tc>
          <w:tcPr>
            <w:tcW w:type="dxa" w:w="3000"/>
          </w:tcPr>
          <w:p>
            <w:r>
              <w:rPr>
                <w:rFonts w:ascii="Calibri" w:cs="Calibri" w:eastAsia="Calibri" w:hAnsi="Calibri"/>
                <w:b w:val="false"/>
                <w:bCs w:val="false"/>
                <w:sz w:val="20"/>
                <w:szCs w:val="20"/>
              </w:rPr>
              <w:t xml:space="preserve">Spoelkast M60</w:t>
            </w:r>
          </w:p>
        </w:tc>
        <w:tc>
          <w:tcPr>
            <w:tcW w:type="dxa" w:w="2800"/>
          </w:tcPr>
          <w:p>
            <w:r>
              <w:rPr>
                <w:rFonts w:ascii="Calibri" w:cs="Calibri" w:eastAsia="Calibri" w:hAnsi="Calibri"/>
                <w:b w:val="false"/>
                <w:bCs w:val="false"/>
                <w:sz w:val="20"/>
                <w:szCs w:val="20"/>
              </w:rPr>
              <w:t xml:space="preserve">RP-SD200-3328</w:t>
            </w:r>
          </w:p>
        </w:tc>
      </w:tr>
      <w:tr>
        <w:tc>
          <w:tcPr>
            <w:tcW w:type="dxa" w:w="3400"/>
          </w:tcPr>
          <w:p>
            <w:r>
              <w:rPr>
                <w:rFonts w:ascii="Calibri" w:cs="Calibri" w:eastAsia="Calibri" w:hAnsi="Calibri"/>
                <w:b w:val="false"/>
                <w:bCs w:val="false"/>
                <w:sz w:val="20"/>
                <w:szCs w:val="20"/>
              </w:rPr>
              <w:t xml:space="preserve">LED-binnenverlichting</w:t>
            </w:r>
          </w:p>
        </w:tc>
        <w:tc>
          <w:tcPr>
            <w:tcW w:type="dxa" w:w="3000"/>
          </w:tcPr>
          <w:p>
            <w:r>
              <w:rPr>
                <w:rFonts w:ascii="Calibri" w:cs="Calibri" w:eastAsia="Calibri" w:hAnsi="Calibri"/>
                <w:b w:val="false"/>
                <w:bCs w:val="false"/>
                <w:sz w:val="20"/>
                <w:szCs w:val="20"/>
              </w:rPr>
              <w:t xml:space="preserve">Alle hoge kasten</w:t>
            </w:r>
          </w:p>
        </w:tc>
        <w:tc>
          <w:tcPr>
            <w:tcW w:type="dxa" w:w="2800"/>
          </w:tcPr>
          <w:p>
            <w:r>
              <w:rPr>
                <w:rFonts w:ascii="Calibri" w:cs="Calibri" w:eastAsia="Calibri" w:hAnsi="Calibri"/>
                <w:b w:val="false"/>
                <w:bCs w:val="false"/>
                <w:sz w:val="20"/>
                <w:szCs w:val="20"/>
              </w:rPr>
              <w:t xml:space="preserve">RP-SD200-3340</w:t>
            </w:r>
          </w:p>
        </w:tc>
      </w:tr>
      <w:tr>
        <w:tc>
          <w:tcPr>
            <w:tcW w:type="dxa" w:w="3400"/>
          </w:tcPr>
          <w:p>
            <w:r>
              <w:rPr>
                <w:rFonts w:ascii="Calibri" w:cs="Calibri" w:eastAsia="Calibri" w:hAnsi="Calibri"/>
                <w:b w:val="false"/>
                <w:bCs w:val="false"/>
                <w:sz w:val="20"/>
                <w:szCs w:val="20"/>
              </w:rPr>
              <w:t xml:space="preserve">Hoekkast draaiuittrek</w:t>
            </w:r>
          </w:p>
        </w:tc>
        <w:tc>
          <w:tcPr>
            <w:tcW w:type="dxa" w:w="3000"/>
          </w:tcPr>
          <w:p>
            <w:r>
              <w:rPr>
                <w:rFonts w:ascii="Calibri" w:cs="Calibri" w:eastAsia="Calibri" w:hAnsi="Calibri"/>
                <w:b w:val="false"/>
                <w:bCs w:val="false"/>
                <w:sz w:val="20"/>
                <w:szCs w:val="20"/>
              </w:rPr>
              <w:t xml:space="preserve">Hoekkast M90</w:t>
            </w:r>
          </w:p>
        </w:tc>
        <w:tc>
          <w:tcPr>
            <w:tcW w:type="dxa" w:w="2800"/>
          </w:tcPr>
          <w:p>
            <w:r>
              <w:rPr>
                <w:rFonts w:ascii="Calibri" w:cs="Calibri" w:eastAsia="Calibri" w:hAnsi="Calibri"/>
                <w:b w:val="false"/>
                <w:bCs w:val="false"/>
                <w:sz w:val="20"/>
                <w:szCs w:val="20"/>
              </w:rPr>
              <w:t xml:space="preserve">RP-SD200-3355</w:t>
            </w:r>
          </w:p>
        </w:tc>
      </w:tr>
    </w:tbl>
    <w:p>
      <w:pPr>
        <w:pStyle w:val="Heading1"/>
        <w:spacing w:after="150" w:before="300"/>
      </w:pPr>
      <w:r>
        <w:t xml:space="preserve">9. Technische kenwaarden en normen</w:t>
      </w:r>
    </w:p>
    <w:p>
      <w:pPr>
        <w:spacing w:after="120"/>
      </w:pPr>
      <w:r>
        <w:rPr>
          <w:rFonts w:ascii="Calibri" w:cs="Calibri" w:eastAsia="Calibri" w:hAnsi="Calibri"/>
        </w:rPr>
        <w:t xml:space="preserve">Het systeem Solide 200 is getest en gecertificeerd volgens de relevante Europese normen voor keukenmeubelen.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600"/>
      </w:tblGrid>
      <w:tr>
        <w:trPr>
          <w:tblHeader/>
        </w:trPr>
        <w:tc>
          <w:tcPr>
            <w:tcW w:type="dxa" w:w="3000"/>
            <w:shd w:fill="D9D9D9" w:val="clear"/>
          </w:tcPr>
          <w:p>
            <w:r>
              <w:rPr>
                <w:rFonts w:ascii="Calibri" w:cs="Calibri" w:eastAsia="Calibri" w:hAnsi="Calibri"/>
                <w:b/>
                <w:bCs/>
                <w:sz w:val="20"/>
                <w:szCs w:val="20"/>
              </w:rPr>
              <w:t xml:space="preserve">Testcriterium</w:t>
            </w:r>
          </w:p>
        </w:tc>
        <w:tc>
          <w:tcPr>
            <w:tcW w:type="dxa" w:w="1800"/>
            <w:shd w:fill="D9D9D9" w:val="clear"/>
          </w:tcPr>
          <w:p>
            <w:r>
              <w:rPr>
                <w:rFonts w:ascii="Calibri" w:cs="Calibri" w:eastAsia="Calibri" w:hAnsi="Calibri"/>
                <w:b/>
                <w:bCs/>
                <w:sz w:val="20"/>
                <w:szCs w:val="20"/>
              </w:rPr>
              <w:t xml:space="preserve">Norm</w:t>
            </w:r>
          </w:p>
        </w:tc>
        <w:tc>
          <w:tcPr>
            <w:tcW w:type="dxa" w:w="1800"/>
            <w:shd w:fill="D9D9D9" w:val="clear"/>
          </w:tcPr>
          <w:p>
            <w:r>
              <w:rPr>
                <w:rFonts w:ascii="Calibri" w:cs="Calibri" w:eastAsia="Calibri" w:hAnsi="Calibri"/>
                <w:b/>
                <w:bCs/>
                <w:sz w:val="20"/>
                <w:szCs w:val="20"/>
              </w:rPr>
              <w:t xml:space="preserve">Resultaat</w:t>
            </w:r>
          </w:p>
        </w:tc>
        <w:tc>
          <w:tcPr>
            <w:tcW w:type="dxa" w:w="2600"/>
            <w:shd w:fill="D9D9D9" w:val="clear"/>
          </w:tcPr>
          <w:p>
            <w:r>
              <w:rPr>
                <w:rFonts w:ascii="Calibri" w:cs="Calibri" w:eastAsia="Calibri" w:hAnsi="Calibri"/>
                <w:b/>
                <w:bCs/>
                <w:sz w:val="20"/>
                <w:szCs w:val="20"/>
              </w:rPr>
              <w:t xml:space="preserve">Opmerking</w:t>
            </w:r>
          </w:p>
        </w:tc>
      </w:tr>
      <w:tr>
        <w:tc>
          <w:tcPr>
            <w:tcW w:type="dxa" w:w="3000"/>
          </w:tcPr>
          <w:p>
            <w:r>
              <w:rPr>
                <w:rFonts w:ascii="Calibri" w:cs="Calibri" w:eastAsia="Calibri" w:hAnsi="Calibri"/>
                <w:b w:val="false"/>
                <w:bCs w:val="false"/>
                <w:sz w:val="20"/>
                <w:szCs w:val="20"/>
              </w:rPr>
              <w:t xml:space="preserve">Stabiliteit</w:t>
            </w:r>
          </w:p>
        </w:tc>
        <w:tc>
          <w:tcPr>
            <w:tcW w:type="dxa" w:w="1800"/>
          </w:tcPr>
          <w:p>
            <w:r>
              <w:rPr>
                <w:rFonts w:ascii="Calibri" w:cs="Calibri" w:eastAsia="Calibri" w:hAnsi="Calibri"/>
                <w:b w:val="false"/>
                <w:bCs w:val="false"/>
                <w:sz w:val="20"/>
                <w:szCs w:val="20"/>
              </w:rPr>
              <w:t xml:space="preserve">EN 14749</w:t>
            </w:r>
          </w:p>
        </w:tc>
        <w:tc>
          <w:tcPr>
            <w:tcW w:type="dxa" w:w="1800"/>
          </w:tcPr>
          <w:p>
            <w:r>
              <w:rPr>
                <w:rFonts w:ascii="Calibri" w:cs="Calibri" w:eastAsia="Calibri" w:hAnsi="Calibri"/>
                <w:b w:val="false"/>
                <w:bCs w:val="false"/>
                <w:sz w:val="20"/>
                <w:szCs w:val="20"/>
              </w:rPr>
              <w:t xml:space="preserve">Geslaagd</w:t>
            </w:r>
          </w:p>
        </w:tc>
        <w:tc>
          <w:tcPr>
            <w:tcW w:type="dxa" w:w="2600"/>
          </w:tcPr>
          <w:p>
            <w:r>
              <w:rPr>
                <w:rFonts w:ascii="Calibri" w:cs="Calibri" w:eastAsia="Calibri" w:hAnsi="Calibri"/>
                <w:b w:val="false"/>
                <w:bCs w:val="false"/>
                <w:sz w:val="20"/>
                <w:szCs w:val="20"/>
              </w:rPr>
              <w:t xml:space="preserve">Onder- en hoge kasten</w:t>
            </w:r>
          </w:p>
        </w:tc>
      </w:tr>
      <w:tr>
        <w:tc>
          <w:tcPr>
            <w:tcW w:type="dxa" w:w="3000"/>
          </w:tcPr>
          <w:p>
            <w:r>
              <w:rPr>
                <w:rFonts w:ascii="Calibri" w:cs="Calibri" w:eastAsia="Calibri" w:hAnsi="Calibri"/>
                <w:b w:val="false"/>
                <w:bCs w:val="false"/>
                <w:sz w:val="20"/>
                <w:szCs w:val="20"/>
              </w:rPr>
              <w:t xml:space="preserve">Belastbaarheid legbord</w:t>
            </w:r>
          </w:p>
        </w:tc>
        <w:tc>
          <w:tcPr>
            <w:tcW w:type="dxa" w:w="1800"/>
          </w:tcPr>
          <w:p>
            <w:r>
              <w:rPr>
                <w:rFonts w:ascii="Calibri" w:cs="Calibri" w:eastAsia="Calibri" w:hAnsi="Calibri"/>
                <w:b w:val="false"/>
                <w:bCs w:val="false"/>
                <w:sz w:val="20"/>
                <w:szCs w:val="20"/>
              </w:rPr>
              <w:t xml:space="preserve">EN 14749</w:t>
            </w:r>
          </w:p>
        </w:tc>
        <w:tc>
          <w:tcPr>
            <w:tcW w:type="dxa" w:w="1800"/>
          </w:tcPr>
          <w:p>
            <w:r>
              <w:rPr>
                <w:rFonts w:ascii="Calibri" w:cs="Calibri" w:eastAsia="Calibri" w:hAnsi="Calibri"/>
                <w:b w:val="false"/>
                <w:bCs w:val="false"/>
                <w:sz w:val="20"/>
                <w:szCs w:val="20"/>
              </w:rPr>
              <w:t xml:space="preserve">25 kg</w:t>
            </w:r>
          </w:p>
        </w:tc>
        <w:tc>
          <w:tcPr>
            <w:tcW w:type="dxa" w:w="2600"/>
          </w:tcPr>
          <w:p>
            <w:r>
              <w:rPr>
                <w:rFonts w:ascii="Calibri" w:cs="Calibri" w:eastAsia="Calibri" w:hAnsi="Calibri"/>
                <w:b w:val="false"/>
                <w:bCs w:val="false"/>
                <w:sz w:val="20"/>
                <w:szCs w:val="20"/>
              </w:rPr>
              <w:t xml:space="preserve">Bij 19 mm materiaaldikte</w:t>
            </w:r>
          </w:p>
        </w:tc>
      </w:tr>
      <w:tr>
        <w:tc>
          <w:tcPr>
            <w:tcW w:type="dxa" w:w="3000"/>
          </w:tcPr>
          <w:p>
            <w:r>
              <w:rPr>
                <w:rFonts w:ascii="Calibri" w:cs="Calibri" w:eastAsia="Calibri" w:hAnsi="Calibri"/>
                <w:b w:val="false"/>
                <w:bCs w:val="false"/>
                <w:sz w:val="20"/>
                <w:szCs w:val="20"/>
              </w:rPr>
              <w:t xml:space="preserve">Belastbaarheid lade</w:t>
            </w:r>
          </w:p>
        </w:tc>
        <w:tc>
          <w:tcPr>
            <w:tcW w:type="dxa" w:w="1800"/>
          </w:tcPr>
          <w:p>
            <w:r>
              <w:rPr>
                <w:rFonts w:ascii="Calibri" w:cs="Calibri" w:eastAsia="Calibri" w:hAnsi="Calibri"/>
                <w:b w:val="false"/>
                <w:bCs w:val="false"/>
                <w:sz w:val="20"/>
                <w:szCs w:val="20"/>
              </w:rPr>
              <w:t xml:space="preserve">EN 14749</w:t>
            </w:r>
          </w:p>
        </w:tc>
        <w:tc>
          <w:tcPr>
            <w:tcW w:type="dxa" w:w="1800"/>
          </w:tcPr>
          <w:p>
            <w:r>
              <w:rPr>
                <w:rFonts w:ascii="Calibri" w:cs="Calibri" w:eastAsia="Calibri" w:hAnsi="Calibri"/>
                <w:b w:val="false"/>
                <w:bCs w:val="false"/>
                <w:sz w:val="20"/>
                <w:szCs w:val="20"/>
              </w:rPr>
              <w:t xml:space="preserve">40 kg</w:t>
            </w:r>
          </w:p>
        </w:tc>
        <w:tc>
          <w:tcPr>
            <w:tcW w:type="dxa" w:w="2600"/>
          </w:tcPr>
          <w:p>
            <w:r>
              <w:rPr>
                <w:rFonts w:ascii="Calibri" w:cs="Calibri" w:eastAsia="Calibri" w:hAnsi="Calibri"/>
                <w:b w:val="false"/>
                <w:bCs w:val="false"/>
                <w:sz w:val="20"/>
                <w:szCs w:val="20"/>
              </w:rPr>
              <w:t xml:space="preserve">Volledige uittrekking</w:t>
            </w:r>
          </w:p>
        </w:tc>
      </w:tr>
      <w:tr>
        <w:tc>
          <w:tcPr>
            <w:tcW w:type="dxa" w:w="3000"/>
          </w:tcPr>
          <w:p>
            <w:r>
              <w:rPr>
                <w:rFonts w:ascii="Calibri" w:cs="Calibri" w:eastAsia="Calibri" w:hAnsi="Calibri"/>
                <w:b w:val="false"/>
                <w:bCs w:val="false"/>
                <w:sz w:val="20"/>
                <w:szCs w:val="20"/>
              </w:rPr>
              <w:t xml:space="preserve">Formaldehyde-emissie</w:t>
            </w:r>
          </w:p>
        </w:tc>
        <w:tc>
          <w:tcPr>
            <w:tcW w:type="dxa" w:w="1800"/>
          </w:tcPr>
          <w:p>
            <w:r>
              <w:rPr>
                <w:rFonts w:ascii="Calibri" w:cs="Calibri" w:eastAsia="Calibri" w:hAnsi="Calibri"/>
                <w:b w:val="false"/>
                <w:bCs w:val="false"/>
                <w:sz w:val="20"/>
                <w:szCs w:val="20"/>
              </w:rPr>
              <w:t xml:space="preserve">EN 717-1</w:t>
            </w:r>
          </w:p>
        </w:tc>
        <w:tc>
          <w:tcPr>
            <w:tcW w:type="dxa" w:w="1800"/>
          </w:tcPr>
          <w:p>
            <w:r>
              <w:rPr>
                <w:rFonts w:ascii="Calibri" w:cs="Calibri" w:eastAsia="Calibri" w:hAnsi="Calibri"/>
                <w:b w:val="false"/>
                <w:bCs w:val="false"/>
                <w:sz w:val="20"/>
                <w:szCs w:val="20"/>
              </w:rPr>
              <w:t xml:space="preserve">E1</w:t>
            </w:r>
          </w:p>
        </w:tc>
        <w:tc>
          <w:tcPr>
            <w:tcW w:type="dxa" w:w="2600"/>
          </w:tcPr>
          <w:p>
            <w:r>
              <w:rPr>
                <w:rFonts w:ascii="Calibri" w:cs="Calibri" w:eastAsia="Calibri" w:hAnsi="Calibri"/>
                <w:b w:val="false"/>
                <w:bCs w:val="false"/>
                <w:sz w:val="20"/>
                <w:szCs w:val="20"/>
              </w:rPr>
              <w:t xml:space="preserve">Alle spaanplaatonderdelen</w:t>
            </w:r>
          </w:p>
        </w:tc>
      </w:tr>
      <w:tr>
        <w:tc>
          <w:tcPr>
            <w:tcW w:type="dxa" w:w="3000"/>
          </w:tcPr>
          <w:p>
            <w:r>
              <w:rPr>
                <w:rFonts w:ascii="Calibri" w:cs="Calibri" w:eastAsia="Calibri" w:hAnsi="Calibri"/>
                <w:b w:val="false"/>
                <w:bCs w:val="false"/>
                <w:sz w:val="20"/>
                <w:szCs w:val="20"/>
              </w:rPr>
              <w:t xml:space="preserve">Oppervlaktebestendigheid</w:t>
            </w:r>
          </w:p>
        </w:tc>
        <w:tc>
          <w:tcPr>
            <w:tcW w:type="dxa" w:w="1800"/>
          </w:tcPr>
          <w:p>
            <w:r>
              <w:rPr>
                <w:rFonts w:ascii="Calibri" w:cs="Calibri" w:eastAsia="Calibri" w:hAnsi="Calibri"/>
                <w:b w:val="false"/>
                <w:bCs w:val="false"/>
                <w:sz w:val="20"/>
                <w:szCs w:val="20"/>
              </w:rPr>
              <w:t xml:space="preserve">EN 12720</w:t>
            </w:r>
          </w:p>
        </w:tc>
        <w:tc>
          <w:tcPr>
            <w:tcW w:type="dxa" w:w="1800"/>
          </w:tcPr>
          <w:p>
            <w:r>
              <w:rPr>
                <w:rFonts w:ascii="Calibri" w:cs="Calibri" w:eastAsia="Calibri" w:hAnsi="Calibri"/>
                <w:b w:val="false"/>
                <w:bCs w:val="false"/>
                <w:sz w:val="20"/>
                <w:szCs w:val="20"/>
              </w:rPr>
              <w:t xml:space="preserve">Geslaagd</w:t>
            </w:r>
          </w:p>
        </w:tc>
        <w:tc>
          <w:tcPr>
            <w:tcW w:type="dxa" w:w="2600"/>
          </w:tcPr>
          <w:p>
            <w:r>
              <w:rPr>
                <w:rFonts w:ascii="Calibri" w:cs="Calibri" w:eastAsia="Calibri" w:hAnsi="Calibri"/>
                <w:b w:val="false"/>
                <w:bCs w:val="false"/>
                <w:sz w:val="20"/>
                <w:szCs w:val="20"/>
              </w:rPr>
              <w:t xml:space="preserve">Fenix- en keramiekfronten</w:t>
            </w:r>
          </w:p>
        </w:tc>
      </w:tr>
    </w:tbl>
    <w:p>
      <w:pPr>
        <w:pStyle w:val="Heading1"/>
        <w:spacing w:after="150" w:before="300"/>
      </w:pPr>
      <w:r>
        <w:t xml:space="preserve">10. Configuratievoorbeelden</w:t>
      </w:r>
    </w:p>
    <w:p>
      <w:pPr>
        <w:pStyle w:val="Heading2"/>
        <w:spacing w:after="100" w:before="200"/>
      </w:pPr>
      <w:r>
        <w:t xml:space="preserve">Voorbeeld A — Rechte keuken, 3,60 m</w:t>
      </w:r>
    </w:p>
    <w:p>
      <w:pPr>
        <w:spacing w:after="120"/>
      </w:pPr>
      <w:r>
        <w:rPr>
          <w:rFonts w:ascii="Calibri" w:cs="Calibri" w:eastAsia="Calibri" w:hAnsi="Calibri"/>
        </w:rPr>
        <w:t xml:space="preserve">Bestaande uit: 1x SD200-M60 (spoelkast), 2x SD200-M60 (ladekast), 1x SD200-M90 (hoekkast), 1x SD200-H60 (ovenkast), 3x SD200-O60 (bovenkast). Korpuskleur: SD-K01 Grafietgrijs. Frontkleur: SD-F02 Antracietgrijs (Fenix).</w:t>
      </w:r>
    </w:p>
    <w:p>
      <w:pPr>
        <w:pStyle w:val="Heading2"/>
        <w:spacing w:after="100" w:before="200"/>
      </w:pPr>
      <w:r>
        <w:t xml:space="preserve">Voorbeeld B — Kookeiland met hoekkeuken</w:t>
      </w:r>
    </w:p>
    <w:p>
      <w:pPr>
        <w:spacing w:after="120"/>
      </w:pPr>
      <w:r>
        <w:rPr>
          <w:rFonts w:ascii="Calibri" w:cs="Calibri" w:eastAsia="Calibri" w:hAnsi="Calibri"/>
        </w:rPr>
        <w:t xml:space="preserve">Bestaande uit: hoekkeuken met 5 onderkastmodules langs de wand, kookeiland met 2x SD200-M60 en geïntegreerde kookplaat. Korpuskleur: SD-K02 Wit. Frontkleur: SD-F01 Sneeuwwit (lak, supermat).</w:t>
      </w:r>
    </w:p>
    <w:p>
      <w:pPr>
        <w:pStyle w:val="Heading2"/>
        <w:spacing w:after="100" w:before="200"/>
      </w:pPr>
      <w:r>
        <w:t xml:space="preserve">Voorbeeld C — Compacte keuken voor appartementenproject</w:t>
      </w:r>
    </w:p>
    <w:p>
      <w:pPr>
        <w:spacing w:after="120"/>
      </w:pPr>
      <w:r>
        <w:rPr>
          <w:rFonts w:ascii="Calibri" w:cs="Calibri" w:eastAsia="Calibri" w:hAnsi="Calibri"/>
        </w:rPr>
        <w:t xml:space="preserve">Bestaande uit: 1x SD200-M50 (spoelkast), 1x SD200-M60 (ladekast), 1x SD200-H60 (koel-vriescombinatie), 2x SD200-O60 (bovenkast). Deze configuratie wordt vaak gekozen voor projectmatige woningbouw met een uniforme keukenuitrusting in meerdere wooneenheden. Korpuskleur: SD-K02 Wit. Frontkleur: SD-F03 Zandbeige (lak, hoogglans).</w:t>
      </w:r>
    </w:p>
    <w:p>
      <w:pPr>
        <w:spacing w:after="120"/>
      </w:pPr>
      <w:r>
        <w:rPr>
          <w:rFonts w:ascii="Calibri" w:cs="Calibri" w:eastAsia="Calibri" w:hAnsi="Calibri"/>
        </w:rPr>
        <w:t xml:space="preserve">Voor appartementenprojecten met meer dan tien identieke keukenconfiguraties biedt Rotpunkt Küchen GmbH gestaffelde volumecondities aan. Nadere informatie hierover is verkrijgbaar bij de betreffende verkoopafdeling.</w:t>
      </w:r>
    </w:p>
    <w:p>
      <w:pPr>
        <w:spacing w:after="120"/>
      </w:pPr>
      <w:r>
        <w:rPr>
          <w:rFonts w:ascii="Calibri" w:cs="Calibri" w:eastAsia="Calibri" w:hAnsi="Calibri"/>
        </w:rPr>
        <w:t xml:space="preserve">Het leidmotief van de gehele collectie is “Quiet Comfort”, een aanduiding die in onze internationale communicatie bewust in het Engelse origineel behouden blijft.</w:t>
      </w:r>
    </w:p>
    <w:p>
      <w:pPr>
        <w:spacing w:after="150" w:before="300"/>
      </w:pPr>
      <w:r>
        <w:rPr>
          <w:rFonts w:ascii="Calibri" w:cs="Calibri" w:eastAsia="Calibri" w:hAnsi="Calibri"/>
          <w:b/>
          <w:bCs/>
          <w:sz w:val="24"/>
          <w:szCs w:val="24"/>
        </w:rPr>
        <w:t xml:space="preserve">11. Artikelnummers en bestelinformatie</w:t>
      </w:r>
    </w:p>
    <w:p>
      <w:pPr>
        <w:spacing w:after="120"/>
      </w:pPr>
      <w:r>
        <w:rPr>
          <w:rFonts w:ascii="Calibri" w:cs="Calibri" w:eastAsia="Calibri" w:hAnsi="Calibri"/>
        </w:rPr>
        <w:t xml:space="preserve">Het centrale artikelnummer voor de referentiemodule van dit datablad is RP-SD200-3325 (onderkast SD200-M60, korpuskleur SD-K01, frontkleur SD-F02). Dit artikelnummer dient bij elke bestelling te worden vermeld.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800"/>
        <w:gridCol w:w="1800"/>
      </w:tblGrid>
      <w:tr>
        <w:trPr>
          <w:tblHeader/>
        </w:trPr>
        <w:tc>
          <w:tcPr>
            <w:tcW w:type="dxa" w:w="2400"/>
            <w:shd w:fill="D9D9D9" w:val="clear"/>
          </w:tcPr>
          <w:p>
            <w:r>
              <w:rPr>
                <w:rFonts w:ascii="Calibri" w:cs="Calibri" w:eastAsia="Calibri" w:hAnsi="Calibri"/>
                <w:b/>
                <w:bCs/>
                <w:sz w:val="20"/>
                <w:szCs w:val="20"/>
              </w:rPr>
              <w:t xml:space="preserve">Artikelnummer</w:t>
            </w:r>
          </w:p>
        </w:tc>
        <w:tc>
          <w:tcPr>
            <w:tcW w:type="dxa" w:w="2000"/>
            <w:shd w:fill="D9D9D9" w:val="clear"/>
          </w:tcPr>
          <w:p>
            <w:r>
              <w:rPr>
                <w:rFonts w:ascii="Calibri" w:cs="Calibri" w:eastAsia="Calibri" w:hAnsi="Calibri"/>
                <w:b/>
                <w:bCs/>
                <w:sz w:val="20"/>
                <w:szCs w:val="20"/>
              </w:rPr>
              <w:t xml:space="preserve">Module</w:t>
            </w:r>
          </w:p>
        </w:tc>
        <w:tc>
          <w:tcPr>
            <w:tcW w:type="dxa" w:w="1800"/>
            <w:shd w:fill="D9D9D9" w:val="clear"/>
          </w:tcPr>
          <w:p>
            <w:r>
              <w:rPr>
                <w:rFonts w:ascii="Calibri" w:cs="Calibri" w:eastAsia="Calibri" w:hAnsi="Calibri"/>
                <w:b/>
                <w:bCs/>
                <w:sz w:val="20"/>
                <w:szCs w:val="20"/>
              </w:rPr>
              <w:t xml:space="preserve">Korpuskleur</w:t>
            </w:r>
          </w:p>
        </w:tc>
        <w:tc>
          <w:tcPr>
            <w:tcW w:type="dxa" w:w="1800"/>
            <w:shd w:fill="D9D9D9" w:val="clear"/>
          </w:tcPr>
          <w:p>
            <w:r>
              <w:rPr>
                <w:rFonts w:ascii="Calibri" w:cs="Calibri" w:eastAsia="Calibri" w:hAnsi="Calibri"/>
                <w:b/>
                <w:bCs/>
                <w:sz w:val="20"/>
                <w:szCs w:val="20"/>
              </w:rPr>
              <w:t xml:space="preserve">Frontkleur</w:t>
            </w:r>
          </w:p>
        </w:tc>
        <w:tc>
          <w:tcPr>
            <w:tcW w:type="dxa" w:w="1800"/>
            <w:shd w:fill="D9D9D9" w:val="clear"/>
          </w:tcPr>
          <w:p>
            <w:r>
              <w:rPr>
                <w:rFonts w:ascii="Calibri" w:cs="Calibri" w:eastAsia="Calibri" w:hAnsi="Calibri"/>
                <w:b/>
                <w:bCs/>
                <w:sz w:val="20"/>
                <w:szCs w:val="20"/>
              </w:rPr>
              <w:t xml:space="preserve">Prijs (netto)</w:t>
            </w:r>
          </w:p>
        </w:tc>
      </w:tr>
      <w:tr>
        <w:tc>
          <w:tcPr>
            <w:tcW w:type="dxa" w:w="2400"/>
          </w:tcPr>
          <w:p>
            <w:r>
              <w:rPr>
                <w:rFonts w:ascii="Calibri" w:cs="Calibri" w:eastAsia="Calibri" w:hAnsi="Calibri"/>
                <w:b w:val="false"/>
                <w:bCs w:val="false"/>
                <w:sz w:val="20"/>
                <w:szCs w:val="20"/>
              </w:rPr>
              <w:t xml:space="preserve">RP-SD200-3325</w:t>
            </w:r>
          </w:p>
        </w:tc>
        <w:tc>
          <w:tcPr>
            <w:tcW w:type="dxa" w:w="2000"/>
          </w:tcPr>
          <w:p>
            <w:r>
              <w:rPr>
                <w:rFonts w:ascii="Calibri" w:cs="Calibri" w:eastAsia="Calibri" w:hAnsi="Calibri"/>
                <w:b w:val="false"/>
                <w:bCs w:val="false"/>
                <w:sz w:val="20"/>
                <w:szCs w:val="20"/>
              </w:rPr>
              <w:t xml:space="preserve">SD200-M60</w:t>
            </w:r>
          </w:p>
        </w:tc>
        <w:tc>
          <w:tcPr>
            <w:tcW w:type="dxa" w:w="1800"/>
          </w:tcPr>
          <w:p>
            <w:r>
              <w:rPr>
                <w:rFonts w:ascii="Calibri" w:cs="Calibri" w:eastAsia="Calibri" w:hAnsi="Calibri"/>
                <w:b w:val="false"/>
                <w:bCs w:val="false"/>
                <w:sz w:val="20"/>
                <w:szCs w:val="20"/>
              </w:rPr>
              <w:t xml:space="preserve">SD-K01</w:t>
            </w:r>
          </w:p>
        </w:tc>
        <w:tc>
          <w:tcPr>
            <w:tcW w:type="dxa" w:w="1800"/>
          </w:tcPr>
          <w:p>
            <w:r>
              <w:rPr>
                <w:rFonts w:ascii="Calibri" w:cs="Calibri" w:eastAsia="Calibri" w:hAnsi="Calibri"/>
                <w:b w:val="false"/>
                <w:bCs w:val="false"/>
                <w:sz w:val="20"/>
                <w:szCs w:val="20"/>
              </w:rPr>
              <w:t xml:space="preserve">SD-F02</w:t>
            </w:r>
          </w:p>
        </w:tc>
        <w:tc>
          <w:tcPr>
            <w:tcW w:type="dxa" w:w="1800"/>
          </w:tcPr>
          <w:p>
            <w:r>
              <w:rPr>
                <w:rFonts w:ascii="Calibri" w:cs="Calibri" w:eastAsia="Calibri" w:hAnsi="Calibri"/>
                <w:b w:val="false"/>
                <w:bCs w:val="false"/>
                <w:sz w:val="20"/>
                <w:szCs w:val="20"/>
              </w:rPr>
              <w:t xml:space="preserve">356,00 €</w:t>
            </w:r>
          </w:p>
        </w:tc>
      </w:tr>
      <w:tr>
        <w:tc>
          <w:tcPr>
            <w:tcW w:type="dxa" w:w="2400"/>
          </w:tcPr>
          <w:p>
            <w:r>
              <w:rPr>
                <w:rFonts w:ascii="Calibri" w:cs="Calibri" w:eastAsia="Calibri" w:hAnsi="Calibri"/>
                <w:b w:val="false"/>
                <w:bCs w:val="false"/>
                <w:sz w:val="20"/>
                <w:szCs w:val="20"/>
              </w:rPr>
              <w:t xml:space="preserve">RP-SD200-3326</w:t>
            </w:r>
          </w:p>
        </w:tc>
        <w:tc>
          <w:tcPr>
            <w:tcW w:type="dxa" w:w="2000"/>
          </w:tcPr>
          <w:p>
            <w:r>
              <w:rPr>
                <w:rFonts w:ascii="Calibri" w:cs="Calibri" w:eastAsia="Calibri" w:hAnsi="Calibri"/>
                <w:b w:val="false"/>
                <w:bCs w:val="false"/>
                <w:sz w:val="20"/>
                <w:szCs w:val="20"/>
              </w:rPr>
              <w:t xml:space="preserve">SD200-M60</w:t>
            </w:r>
          </w:p>
        </w:tc>
        <w:tc>
          <w:tcPr>
            <w:tcW w:type="dxa" w:w="1800"/>
          </w:tcPr>
          <w:p>
            <w:r>
              <w:rPr>
                <w:rFonts w:ascii="Calibri" w:cs="Calibri" w:eastAsia="Calibri" w:hAnsi="Calibri"/>
                <w:b w:val="false"/>
                <w:bCs w:val="false"/>
                <w:sz w:val="20"/>
                <w:szCs w:val="20"/>
              </w:rPr>
              <w:t xml:space="preserve">SD-K02</w:t>
            </w:r>
          </w:p>
        </w:tc>
        <w:tc>
          <w:tcPr>
            <w:tcW w:type="dxa" w:w="1800"/>
          </w:tcPr>
          <w:p>
            <w:r>
              <w:rPr>
                <w:rFonts w:ascii="Calibri" w:cs="Calibri" w:eastAsia="Calibri" w:hAnsi="Calibri"/>
                <w:b w:val="false"/>
                <w:bCs w:val="false"/>
                <w:sz w:val="20"/>
                <w:szCs w:val="20"/>
              </w:rPr>
              <w:t xml:space="preserve">SD-F01</w:t>
            </w:r>
          </w:p>
        </w:tc>
        <w:tc>
          <w:tcPr>
            <w:tcW w:type="dxa" w:w="1800"/>
          </w:tcPr>
          <w:p>
            <w:r>
              <w:rPr>
                <w:rFonts w:ascii="Calibri" w:cs="Calibri" w:eastAsia="Calibri" w:hAnsi="Calibri"/>
                <w:b w:val="false"/>
                <w:bCs w:val="false"/>
                <w:sz w:val="20"/>
                <w:szCs w:val="20"/>
              </w:rPr>
              <w:t xml:space="preserve">349,00 €</w:t>
            </w:r>
          </w:p>
        </w:tc>
      </w:tr>
      <w:tr>
        <w:tc>
          <w:tcPr>
            <w:tcW w:type="dxa" w:w="2400"/>
          </w:tcPr>
          <w:p>
            <w:r>
              <w:rPr>
                <w:rFonts w:ascii="Calibri" w:cs="Calibri" w:eastAsia="Calibri" w:hAnsi="Calibri"/>
                <w:b w:val="false"/>
                <w:bCs w:val="false"/>
                <w:sz w:val="20"/>
                <w:szCs w:val="20"/>
              </w:rPr>
              <w:t xml:space="preserve">RP-SD200-3327</w:t>
            </w:r>
          </w:p>
        </w:tc>
        <w:tc>
          <w:tcPr>
            <w:tcW w:type="dxa" w:w="2000"/>
          </w:tcPr>
          <w:p>
            <w:r>
              <w:rPr>
                <w:rFonts w:ascii="Calibri" w:cs="Calibri" w:eastAsia="Calibri" w:hAnsi="Calibri"/>
                <w:b w:val="false"/>
                <w:bCs w:val="false"/>
                <w:sz w:val="20"/>
                <w:szCs w:val="20"/>
              </w:rPr>
              <w:t xml:space="preserve">SD200-H60</w:t>
            </w:r>
          </w:p>
        </w:tc>
        <w:tc>
          <w:tcPr>
            <w:tcW w:type="dxa" w:w="1800"/>
          </w:tcPr>
          <w:p>
            <w:r>
              <w:rPr>
                <w:rFonts w:ascii="Calibri" w:cs="Calibri" w:eastAsia="Calibri" w:hAnsi="Calibri"/>
                <w:b w:val="false"/>
                <w:bCs w:val="false"/>
                <w:sz w:val="20"/>
                <w:szCs w:val="20"/>
              </w:rPr>
              <w:t xml:space="preserve">SD-K01</w:t>
            </w:r>
          </w:p>
        </w:tc>
        <w:tc>
          <w:tcPr>
            <w:tcW w:type="dxa" w:w="1800"/>
          </w:tcPr>
          <w:p>
            <w:r>
              <w:rPr>
                <w:rFonts w:ascii="Calibri" w:cs="Calibri" w:eastAsia="Calibri" w:hAnsi="Calibri"/>
                <w:b w:val="false"/>
                <w:bCs w:val="false"/>
                <w:sz w:val="20"/>
                <w:szCs w:val="20"/>
              </w:rPr>
              <w:t xml:space="preserve">SD-F02</w:t>
            </w:r>
          </w:p>
        </w:tc>
        <w:tc>
          <w:tcPr>
            <w:tcW w:type="dxa" w:w="1800"/>
          </w:tcPr>
          <w:p>
            <w:r>
              <w:rPr>
                <w:rFonts w:ascii="Calibri" w:cs="Calibri" w:eastAsia="Calibri" w:hAnsi="Calibri"/>
                <w:b w:val="false"/>
                <w:bCs w:val="false"/>
                <w:sz w:val="20"/>
                <w:szCs w:val="20"/>
              </w:rPr>
              <w:t xml:space="preserve">628,00 €</w:t>
            </w:r>
          </w:p>
        </w:tc>
      </w:tr>
      <w:tr>
        <w:tc>
          <w:tcPr>
            <w:tcW w:type="dxa" w:w="2400"/>
          </w:tcPr>
          <w:p>
            <w:r>
              <w:rPr>
                <w:rFonts w:ascii="Calibri" w:cs="Calibri" w:eastAsia="Calibri" w:hAnsi="Calibri"/>
                <w:b w:val="false"/>
                <w:bCs w:val="false"/>
                <w:sz w:val="20"/>
                <w:szCs w:val="20"/>
              </w:rPr>
              <w:t xml:space="preserve">RP-SD200-3328</w:t>
            </w:r>
          </w:p>
        </w:tc>
        <w:tc>
          <w:tcPr>
            <w:tcW w:type="dxa" w:w="2000"/>
          </w:tcPr>
          <w:p>
            <w:r>
              <w:rPr>
                <w:rFonts w:ascii="Calibri" w:cs="Calibri" w:eastAsia="Calibri" w:hAnsi="Calibri"/>
                <w:b w:val="false"/>
                <w:bCs w:val="false"/>
                <w:sz w:val="20"/>
                <w:szCs w:val="20"/>
              </w:rPr>
              <w:t xml:space="preserve">SD200-M90</w:t>
            </w:r>
          </w:p>
        </w:tc>
        <w:tc>
          <w:tcPr>
            <w:tcW w:type="dxa" w:w="1800"/>
          </w:tcPr>
          <w:p>
            <w:r>
              <w:rPr>
                <w:rFonts w:ascii="Calibri" w:cs="Calibri" w:eastAsia="Calibri" w:hAnsi="Calibri"/>
                <w:b w:val="false"/>
                <w:bCs w:val="false"/>
                <w:sz w:val="20"/>
                <w:szCs w:val="20"/>
              </w:rPr>
              <w:t xml:space="preserve">SD-K01</w:t>
            </w:r>
          </w:p>
        </w:tc>
        <w:tc>
          <w:tcPr>
            <w:tcW w:type="dxa" w:w="1800"/>
          </w:tcPr>
          <w:p>
            <w:r>
              <w:rPr>
                <w:rFonts w:ascii="Calibri" w:cs="Calibri" w:eastAsia="Calibri" w:hAnsi="Calibri"/>
                <w:b w:val="false"/>
                <w:bCs w:val="false"/>
                <w:sz w:val="20"/>
                <w:szCs w:val="20"/>
              </w:rPr>
              <w:t xml:space="preserve">SD-F02</w:t>
            </w:r>
          </w:p>
        </w:tc>
        <w:tc>
          <w:tcPr>
            <w:tcW w:type="dxa" w:w="1800"/>
          </w:tcPr>
          <w:p>
            <w:r>
              <w:rPr>
                <w:rFonts w:ascii="Calibri" w:cs="Calibri" w:eastAsia="Calibri" w:hAnsi="Calibri"/>
                <w:b w:val="false"/>
                <w:bCs w:val="false"/>
                <w:sz w:val="20"/>
                <w:szCs w:val="20"/>
              </w:rPr>
              <w:t xml:space="preserve">502,00 €</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Bij nabestellingen dient steeds het volledige artikelnummer RP-SD200-3325 (of de betreffende variant) te worden vermeld, om verwisseling met vergelijkbare modules te voorkomen.</w:t>
      </w:r>
    </w:p>
    <w:p>
      <w:pPr>
        <w:pStyle w:val="Heading1"/>
        <w:spacing w:after="150" w:before="300"/>
      </w:pPr>
      <w:r>
        <w:t xml:space="preserve">12. Onderhouds- en reinigingsinstructies</w:t>
      </w:r>
    </w:p>
    <w:p>
      <w:pPr>
        <w:spacing w:after="120"/>
      </w:pPr>
      <w:r>
        <w:rPr>
          <w:rFonts w:ascii="Calibri" w:cs="Calibri" w:eastAsia="Calibri" w:hAnsi="Calibri"/>
        </w:rPr>
        <w:t xml:space="preserve">Fronten met houtdecor dienen uitsluitend met een licht vochtige, zachte doek gereinigd te worden. Het gebruik van schurende of oplosmiddelhoudende reinigingsmiddelen dient vermeden te worden, aangezien dit de oppervlaktecoating kan beschadigen.</w:t>
      </w:r>
    </w:p>
    <w:p>
      <w:pPr>
        <w:spacing w:after="120"/>
      </w:pPr>
      <w:r>
        <w:rPr>
          <w:rFonts w:ascii="Calibri" w:cs="Calibri" w:eastAsia="Calibri" w:hAnsi="Calibri"/>
        </w:rPr>
        <w:t xml:space="preserve">Fenix- en keramiekoppervlakken zijn bijzonder ongevoelig voor vingerafdrukken en lichte krassen, maar dienen eveneens niet met scherpe voorwerpen bewerkt te worden.</w:t>
      </w:r>
    </w:p>
    <w:p>
      <w:pPr>
        <w:spacing w:after="120"/>
      </w:pPr>
      <w:r>
        <w:rPr>
          <w:rFonts w:ascii="Calibri" w:cs="Calibri" w:eastAsia="Calibri" w:hAnsi="Calibri"/>
        </w:rPr>
        <w:t xml:space="preserve">De korpus dient aan de binnenzijde met een droge doek gereinigd te worden. Vocht in de binnenruimte dient vermeden te worden, met name bij de legborden.</w:t>
      </w:r>
    </w:p>
    <w:p>
      <w:pPr>
        <w:pStyle w:val="Heading2"/>
        <w:spacing w:after="100" w:before="200"/>
      </w:pPr>
      <w:r>
        <w:t xml:space="preserve">12.1 Aanbevelingen voor de vakhandel</w:t>
      </w:r>
    </w:p>
    <w:p>
      <w:pPr>
        <w:spacing w:after="120"/>
      </w:pPr>
      <w:r>
        <w:rPr>
          <w:rFonts w:ascii="Calibri" w:cs="Calibri" w:eastAsia="Calibri" w:hAnsi="Calibri"/>
        </w:rPr>
        <w:t xml:space="preserve">Het wordt aanbevolen om eindklanten bij oplevering van de keuken een onderhoudsinstructie te overhandigen, samen met een klein reinigingssetje voor het betreffende frontoppervlak.</w:t>
      </w:r>
    </w:p>
    <w:p>
      <w:pPr>
        <w:pStyle w:val="Heading1"/>
        <w:spacing w:after="150" w:before="300"/>
      </w:pPr>
      <w:r>
        <w:t xml:space="preserve">13. Garantie en contact</w:t>
      </w:r>
    </w:p>
    <w:p>
      <w:pPr>
        <w:spacing w:after="120"/>
      </w:pPr>
      <w:r>
        <w:rPr>
          <w:rFonts w:ascii="Calibri" w:cs="Calibri" w:eastAsia="Calibri" w:hAnsi="Calibri"/>
        </w:rPr>
        <w:t xml:space="preserve">Rotpunkt Küchen GmbH verleent op meubels en beslag van het systeem Solide 200 een fabrieksgarantie van 5 jaar vanaf aankoopdatum. Voorwaarde voor de garantie is aankoop via een erkende vakhandelaar en vakkundige montage volgens de montagehandleiding.</w:t>
      </w:r>
    </w:p>
    <w:p>
      <w:pPr>
        <w:spacing w:after="120"/>
      </w:pPr>
      <w:r>
        <w:rPr>
          <w:rFonts w:ascii="Calibri" w:cs="Calibri" w:eastAsia="Calibri" w:hAnsi="Calibri"/>
        </w:rPr>
        <w:t xml:space="preserve">Voor technische vragen over dit datablad kunt u contact opnemen met de betreffende vakhandelsafdeling of met de technische informatiedienst van Rotpunkt Küchen GmbH.</w:t>
      </w:r>
    </w:p>
    <w:p>
      <w:pPr>
        <w:spacing w:after="120"/>
      </w:pPr>
      <w:r>
        <w:rPr>
          <w:rFonts w:ascii="Calibri" w:cs="Calibri" w:eastAsia="Calibri" w:hAnsi="Calibri"/>
        </w:rPr>
        <w:t xml:space="preserve">Dit document dient uitsluitend voor interne planning- en scholingsdoeleinden en is niet bedoeld voor verspreiding aan eindklanten.</w:t>
      </w:r>
    </w:p>
    <w:p>
      <w:pPr>
        <w:pStyle w:val="Heading2"/>
        <w:spacing w:after="100" w:before="200"/>
      </w:pPr>
      <w:r>
        <w:t xml:space="preserve">13.1 Garantie-uitsluitingen</w:t>
      </w:r>
    </w:p>
    <w:p>
      <w:pPr>
        <w:spacing w:after="120"/>
      </w:pPr>
      <w:r>
        <w:rPr>
          <w:rFonts w:ascii="Calibri" w:cs="Calibri" w:eastAsia="Calibri" w:hAnsi="Calibri"/>
        </w:rPr>
        <w:t xml:space="preserve">Van de garantie uitgesloten zijn schades die te herleiden zijn tot ondeskundige montage, reiniging met ongeschikte middelen, mechanische beschadiging of normale gebruikssporen. Eveneens uitgesloten zijn natuurlijke kleur- en structuurafwijkingen bij houtdecor.</w:t>
      </w:r>
    </w:p>
    <w:p>
      <w:pPr>
        <w:pStyle w:val="Heading1"/>
        <w:spacing w:after="150" w:before="300"/>
      </w:pPr>
      <w:r>
        <w:t xml:space="preserve">14. Levering en logistiek</w:t>
      </w:r>
    </w:p>
    <w:p>
      <w:pPr>
        <w:spacing w:after="120"/>
      </w:pPr>
      <w:r>
        <w:rPr>
          <w:rFonts w:ascii="Calibri" w:cs="Calibri" w:eastAsia="Calibri" w:hAnsi="Calibri"/>
        </w:rPr>
        <w:t xml:space="preserve">De levering van het systeem Solide 200 verloopt in beginsel via de erkende vakhandel, die ook de montage ter plaatse coördineert. Bij projecten met een grotere omvang wordt een tijdige afstemming van de levertermijn met de bouwplanning aanbevolen.</w:t>
      </w:r>
    </w:p>
    <w:p>
      <w:pPr>
        <w:spacing w:after="120"/>
      </w:pPr>
      <w:r>
        <w:rPr>
          <w:rFonts w:ascii="Calibri" w:cs="Calibri" w:eastAsia="Calibri" w:hAnsi="Calibri"/>
        </w:rPr>
        <w:t xml:space="preserve">Onderdelen met houtdecor worden geklimatiseerd getransporteerd om materiaalschade door vochtschommelingen tijdens het transport te voorkomen. Bij aflevering dient een acclimatisatieperiode van ten minste 48 uur vóór montage te worden aangehouden.</w:t>
      </w:r>
    </w:p>
    <w:p>
      <w:pPr>
        <w:spacing w:after="120"/>
      </w:pPr>
      <w:r>
        <w:rPr>
          <w:rFonts w:ascii="Calibri" w:cs="Calibri" w:eastAsia="Calibri" w:hAnsi="Calibri"/>
        </w:rPr>
        <w:t xml:space="preserve">Voor exportorders gelden naast de in hoofdstuk 9 genoemde Europese normen ook de nationale eisen op het gebied van elektrische installatie en meubelveiligheid die in het betreffende land van bestemming van toepassing zijn.</w:t>
      </w:r>
    </w:p>
    <w:p>
      <w:pPr>
        <w:pStyle w:val="Heading1"/>
        <w:spacing w:after="150" w:before="300"/>
      </w:pPr>
      <w:r>
        <w:t xml:space="preserve">Bijlage: Veelgestelde planningsvragen</w:t>
      </w:r>
    </w:p>
    <w:p>
      <w:pPr>
        <w:pStyle w:val="Heading2"/>
        <w:spacing w:after="100" w:before="200"/>
      </w:pPr>
      <w:r>
        <w:t xml:space="preserve">Kan de korpushoogte achteraf gewijzigd worden?</w:t>
      </w:r>
    </w:p>
    <w:p>
      <w:pPr>
        <w:spacing w:after="120"/>
      </w:pPr>
      <w:r>
        <w:rPr>
          <w:rFonts w:ascii="Calibri" w:cs="Calibri" w:eastAsia="Calibri" w:hAnsi="Calibri"/>
        </w:rPr>
        <w:t xml:space="preserve">Nee, de korpushoogte wordt bij bestelling vastgelegd en kan achteraf niet zonder vervanging van de korpus gewijzigd worden.</w:t>
      </w:r>
    </w:p>
    <w:p>
      <w:pPr>
        <w:pStyle w:val="Heading2"/>
        <w:spacing w:after="100" w:before="200"/>
      </w:pPr>
      <w:r>
        <w:t xml:space="preserve">Zijn fronten van verschillende materiaallijnen onderling combineerbaar?</w:t>
      </w:r>
    </w:p>
    <w:p>
      <w:pPr>
        <w:spacing w:after="120"/>
      </w:pPr>
      <w:r>
        <w:rPr>
          <w:rFonts w:ascii="Calibri" w:cs="Calibri" w:eastAsia="Calibri" w:hAnsi="Calibri"/>
        </w:rPr>
        <w:t xml:space="preserve">Ja, in principe zijn alle frontmaterialen (lak, Fenix, keramiek) binnen één keuken te combineren, mits de modulematen aan de rastermaat van 120 mm voldoen.</w:t>
      </w:r>
    </w:p>
    <w:p>
      <w:pPr>
        <w:pStyle w:val="Heading2"/>
        <w:spacing w:after="100" w:before="200"/>
      </w:pPr>
      <w:r>
        <w:t xml:space="preserve">Welke levertijd dient ingepland te worden?</w:t>
      </w:r>
    </w:p>
    <w:p>
      <w:pPr>
        <w:spacing w:after="120"/>
      </w:pPr>
      <w:r>
        <w:rPr>
          <w:rFonts w:ascii="Calibri" w:cs="Calibri" w:eastAsia="Calibri" w:hAnsi="Calibri"/>
        </w:rPr>
        <w:t xml:space="preserve">De standaardlevertijd bedraagt 8 tot 14 weken vanaf orderbevestiging. Bij bijzondere uitvoeringen of de Greenline-uitvoering kan de levertijd oplopen tot 16 weken.</w:t>
      </w:r>
    </w:p>
    <w:p>
      <w:pPr>
        <w:pStyle w:val="Heading2"/>
        <w:spacing w:after="100" w:before="200"/>
      </w:pPr>
      <w:r>
        <w:t xml:space="preserve">Is het Alfa-Geleidesysteem afzonderlijk na te bestellen?</w:t>
      </w:r>
    </w:p>
    <w:p>
      <w:pPr>
        <w:spacing w:after="120"/>
      </w:pPr>
      <w:r>
        <w:rPr>
          <w:rFonts w:ascii="Calibri" w:cs="Calibri" w:eastAsia="Calibri" w:hAnsi="Calibri"/>
        </w:rPr>
        <w:t xml:space="preserve">Het Alfa-Geleidesysteem is uitsluitend fabrieksmatig leverbaar in combinatie met de bijbehorende hoge kastmodules. Een achteraf ombouwen van bestaande binnenladen naar dit systeem is niet voorzien.</w:t>
      </w:r>
    </w:p>
    <w:p>
      <w:pPr>
        <w:pStyle w:val="Heading2"/>
        <w:spacing w:after="100" w:before="200"/>
      </w:pPr>
      <w:r>
        <w:t xml:space="preserve">Is een combinatie met inbouwapparatuur van andere merken mogelijk?</w:t>
      </w:r>
    </w:p>
    <w:p>
      <w:pPr>
        <w:spacing w:after="120"/>
      </w:pPr>
      <w:r>
        <w:rPr>
          <w:rFonts w:ascii="Calibri" w:cs="Calibri" w:eastAsia="Calibri" w:hAnsi="Calibri"/>
        </w:rPr>
        <w:t xml:space="preserve">Ja, de modulematen van het systeem Solide 200 zijn afgestemd op gangbare inbouwapparatuurmaten, zodat een combinatie met de meeste in de markt gebruikelijke inbouwapparaten zonder problemen mogelijk is.</w:t>
      </w:r>
    </w:p>
    <w:p>
      <w:pPr>
        <w:pStyle w:val="Heading2"/>
        <w:spacing w:after="100" w:before="200"/>
      </w:pPr>
      <w:r>
        <w:t xml:space="preserve">Kan de grifflijst achteraf vervangen worden door een handgreep?</w:t>
      </w:r>
    </w:p>
    <w:p>
      <w:pPr>
        <w:spacing w:after="120"/>
      </w:pPr>
      <w:r>
        <w:rPr>
          <w:rFonts w:ascii="Calibri" w:cs="Calibri" w:eastAsia="Calibri" w:hAnsi="Calibri"/>
        </w:rPr>
        <w:t xml:space="preserve">Nee, de grifflose fronten van Solide 200 zijn niet voorzien van boorgaten voor handgrepen. Een latere aanpassing naar een uitvoering met handgrepen is niet mogelijk zonder vervanging van de betreffende fronten.</w:t>
      </w:r>
    </w:p>
    <w:p>
      <w:r>
        <w:br w:type="page"/>
      </w:r>
    </w:p>
    <w:p>
      <w:pPr>
        <w:pStyle w:val="Heading1"/>
        <w:spacing w:after="150" w:before="300"/>
      </w:pPr>
      <w:r>
        <w:t xml:space="preserve">Over Rotpunkt Küchen GmbH</w:t>
      </w:r>
    </w:p>
    <w:p>
      <w:pPr>
        <w:spacing w:after="120"/>
      </w:pPr>
      <w:r>
        <w:rPr>
          <w:rFonts w:ascii="Calibri" w:cs="Calibri" w:eastAsia="Calibri" w:hAnsi="Calibri"/>
        </w:rPr>
        <w:t xml:space="preserve">Rotpunkt Küchen GmbH behoort tot de meest traditierijke keukenfabrikanten van Ostwestfalen-Lippe en positioneert zich als duurzaam premium-middenklassemerk. Op de locatie Bünde worden keukenseries voor het midden- tot hogere prijssegment ontwikkeld en geproduceerd, met bijzondere aandacht voor materiaalkwaliteit, afwerking en ecologische verdraagzaamheid.</w:t>
      </w:r>
    </w:p>
    <w:p>
      <w:pPr>
        <w:spacing w:after="120"/>
      </w:pPr>
      <w:r>
        <w:rPr>
          <w:rFonts w:ascii="Calibri" w:cs="Calibri" w:eastAsia="Calibri" w:hAnsi="Calibri"/>
        </w:rPr>
        <w:t xml:space="preserve">Naast Solide 200 omvat het assortiment nog andere keukenseries voor uiteenlopende stijlrichtingen, van klassiek-modern tot rustiek, die allemaal op een gemeenschappelijk rastersysteem zijn gebaseerd en daardoor onderling combineerbaar zijn.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2026-07-25T21:08:28.687Z</dcterms:created>
  <dcterms:modified xsi:type="dcterms:W3CDTF">2026-07-25T21:08:28.688Z</dcterms:modified>
</cp:coreProperties>
</file>

<file path=docProps/custom.xml><?xml version="1.0" encoding="utf-8"?>
<Properties xmlns="http://schemas.openxmlformats.org/officeDocument/2006/custom-properties" xmlns:vt="http://schemas.openxmlformats.org/officeDocument/2006/docPropsVTypes"/>
</file>