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36"/>
          <w:szCs w:val="36"/>
        </w:rPr>
        <w:t xml:space="preserve">Technisches Datenblatt</w:t>
      </w:r>
    </w:p>
    <w:p>
      <w:pPr>
        <w:spacing w:after="180"/>
      </w:pPr>
      <w:r>
        <w:rPr>
          <w:rFonts w:ascii="Calibri" w:cs="Calibri" w:eastAsia="Calibri" w:hAnsi="Calibri"/>
          <w:b/>
          <w:bCs/>
          <w:color w:val="8C1D18"/>
          <w:sz w:val="26"/>
          <w:szCs w:val="26"/>
        </w:rPr>
        <w:t xml:space="preserve">Küchenmodul Cube 50</w:t>
      </w:r>
    </w:p>
    <w:p>
      <w:pPr>
        <w:spacing w:after="90"/>
      </w:pPr>
      <w:r>
        <w:rPr>
          <w:rFonts w:ascii="Calibri" w:cs="Calibri" w:eastAsia="Calibri" w:hAnsi="Calibri"/>
          <w:i/>
          <w:iCs/>
          <w:sz w:val="16"/>
          <w:szCs w:val="16"/>
        </w:rPr>
        <w:t xml:space="preserve">Dokumentnummer: TD-CB50-DE-2026 · Version 1.0 · Stand: März 2026</w:t>
      </w:r>
    </w:p>
    <w:p>
      <w:pPr>
        <w:spacing w:after="90"/>
      </w:pPr>
      <w:r>
        <w:rPr>
          <w:rFonts w:ascii="Calibri" w:cs="Calibri" w:eastAsia="Calibri" w:hAnsi="Calibri"/>
          <w:sz w:val="16"/>
          <w:szCs w:val="16"/>
        </w:rPr>
        <w:t xml:space="preserve">Rotpunkt Küchen GmbH · Ostwestfalen-Lippe, Deutschland</w:t>
      </w:r>
    </w:p>
    <w:p>
      <w:pPr>
        <w:pStyle w:val="Heading1"/>
        <w:spacing w:after="100" w:before="200"/>
      </w:pPr>
      <w:r>
        <w:t xml:space="preserve">1. Produktübersicht</w:t>
      </w:r>
    </w:p>
    <w:p>
      <w:pPr>
        <w:spacing w:after="90"/>
      </w:pPr>
      <w:r>
        <w:rPr>
          <w:rFonts w:ascii="Calibri" w:cs="Calibri" w:eastAsia="Calibri" w:hAnsi="Calibri"/>
        </w:rPr>
        <w:t xml:space="preserve">Cube 50 ist ein kompaktes Anbaumodul für bestehende Küchensysteme, das sich über das neue Neo-Klicksystem werkzeuglos mit dem vorhandenen Korpus verbinden lässt. Das Modul ergänzt Küchen um zusätzlichen Stauraum, ohne dass eine vollständige Neuplanung erforderlich ist.</w:t>
      </w:r>
    </w:p>
    <w:p>
      <w:pPr>
        <w:spacing w:after="90"/>
      </w:pPr>
      <w:r>
        <w:rPr>
          <w:rFonts w:ascii="Calibri" w:cs="Calibri" w:eastAsia="Calibri" w:hAnsi="Calibri"/>
        </w:rPr>
        <w:t xml:space="preserve">Der Korpus von Cube 50 ist in drei Korpusfarben erhältlich und besteht aus einer feuchtraumbeständigen Spanplatte mit einer Materialstärke von 19 mm, passend zu den bestehenden Rotpunkt-Korpussystemen.</w:t>
      </w:r>
    </w:p>
    <w:p>
      <w:pPr>
        <w:spacing w:after="90"/>
      </w:pPr>
      <w:r>
        <w:rPr>
          <w:rFonts w:ascii="Calibri" w:cs="Calibri" w:eastAsia="Calibri" w:hAnsi="Calibri"/>
        </w:rPr>
        <w:t xml:space="preserve">Das Leitmotiv der Serie, “Easy Click”, wird bewusst im englischen Original beibehalten und beschreibt die werkzeuglose Montage über das Neo-Klicksystem.</w:t>
      </w:r>
    </w:p>
    <w:p>
      <w:pPr>
        <w:spacing w:after="90"/>
      </w:pPr>
      <w:r>
        <w:rPr>
          <w:rFonts w:ascii="Calibri" w:cs="Calibri" w:eastAsia="Calibri" w:hAnsi="Calibri"/>
        </w:rPr>
        <w:t xml:space="preserve">Cube 50 wurde speziell für den Nachrüstmarkt entwickelt: für Kunden, die eine bestehende Rotpunkt-Küche um zusätzlichen Stauraum erweitern möchten, ohne die komplette Küche neu planen oder austauschen zu müssen. Das Modul richtet sich sowohl an Endkunden mit Nachrüstwunsch als auch an Fachhändler, die kleinere Ergänzungsaufträge schnell und unkompliziert abwickeln möchten.</w:t>
      </w:r>
    </w:p>
    <w:p>
      <w:pPr>
        <w:pStyle w:val="Heading2"/>
        <w:spacing w:after="80" w:before="150"/>
      </w:pPr>
      <w:r>
        <w:t xml:space="preserve">1.1 Einsatzbereiche</w:t>
      </w:r>
    </w:p>
    <w:p>
      <w:pPr>
        <w:spacing w:after="90"/>
      </w:pPr>
      <w:r>
        <w:rPr>
          <w:rFonts w:ascii="Calibri" w:cs="Calibri" w:eastAsia="Calibri" w:hAnsi="Calibri"/>
        </w:rPr>
        <w:t xml:space="preserve">Cube 50 eignet sich besonders für schmale Nischen, Übergangsbereiche zwischen bestehenden Modulen sowie für die nachträgliche Aufstockung von Stauraum in kleineren Küchen. Aufgrund der kompakten Breite von 500 mm lässt sich das Modul auch in Räumen mit begrenztem Platzangebot integrieren.</w:t>
      </w:r>
    </w:p>
    <w:p>
      <w:pPr>
        <w:spacing w:after="90"/>
      </w:pPr>
      <w:r>
        <w:rPr>
          <w:rFonts w:ascii="Calibri" w:cs="Calibri" w:eastAsia="Calibri" w:hAnsi="Calibri"/>
        </w:rPr>
        <w:t xml:space="preserve">Das Modul ist ausschließlich für die Anbindung an bestehende Rotpunkt-Korpussysteme mit einer Korpushöhe von 720 mm vorgesehen. Bei abweichenden Korpushöhen ist Cube 50 nicht ohne Weiteres kompatibel.</w:t>
      </w:r>
    </w:p>
    <w:p>
      <w:pPr>
        <w:spacing w:after="90"/>
      </w:pPr>
      <w:r>
        <w:rPr>
          <w:rFonts w:ascii="Calibri" w:cs="Calibri" w:eastAsia="Calibri" w:hAnsi="Calibri"/>
        </w:rPr>
        <w:t xml:space="preserve">Für Fachhändler bietet Cube 50 zudem die Möglichkeit, kleinere Zusatzaufträge unabhängig von größeren Küchenprojekten anzubieten, etwa im Rahmen von Beratungsterminen bei Bestandskunden, die ihre vorhandene Küche punktuell erweitern möchten.</w:t>
      </w:r>
    </w:p>
    <w:p>
      <w:pPr>
        <w:pStyle w:val="Heading1"/>
        <w:spacing w:after="100" w:before="200"/>
      </w:pPr>
      <w:r>
        <w:t xml:space="preserve">2. Materialien und Maße</w:t>
      </w:r>
    </w:p>
    <w:p>
      <w:pPr>
        <w:spacing w:after="90"/>
      </w:pPr>
      <w:r>
        <w:rPr>
          <w:rFonts w:ascii="Calibri" w:cs="Calibri" w:eastAsia="Calibri" w:hAnsi="Calibri"/>
        </w:rPr>
        <w:t xml:space="preserve">Die folgende Tabelle gibt einen Überblick über die verwendeten Materialien und Maße der wichtigsten Bauteile von Cube 50.</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400"/>
        <w:gridCol w:w="2200"/>
      </w:tblGrid>
      <w:tr>
        <w:trPr>
          <w:tblHeader/>
        </w:trPr>
        <w:tc>
          <w:tcPr>
            <w:tcW w:type="dxa" w:w="2200"/>
            <w:shd w:fill="D9D9D9" w:val="clear"/>
          </w:tcPr>
          <w:p>
            <w:r>
              <w:rPr>
                <w:rFonts w:ascii="Calibri" w:cs="Calibri" w:eastAsia="Calibri" w:hAnsi="Calibri"/>
                <w:b/>
                <w:bCs/>
                <w:sz w:val="19"/>
                <w:szCs w:val="19"/>
              </w:rPr>
              <w:t xml:space="preserve">Bauteil</w:t>
            </w:r>
          </w:p>
        </w:tc>
        <w:tc>
          <w:tcPr>
            <w:tcW w:type="dxa" w:w="3000"/>
            <w:shd w:fill="D9D9D9" w:val="clear"/>
          </w:tcPr>
          <w:p>
            <w:r>
              <w:rPr>
                <w:rFonts w:ascii="Calibri" w:cs="Calibri" w:eastAsia="Calibri" w:hAnsi="Calibri"/>
                <w:b/>
                <w:bCs/>
                <w:sz w:val="19"/>
                <w:szCs w:val="19"/>
              </w:rPr>
              <w:t xml:space="preserve">Material</w:t>
            </w:r>
          </w:p>
        </w:tc>
        <w:tc>
          <w:tcPr>
            <w:tcW w:type="dxa" w:w="2400"/>
            <w:shd w:fill="D9D9D9" w:val="clear"/>
          </w:tcPr>
          <w:p>
            <w:r>
              <w:rPr>
                <w:rFonts w:ascii="Calibri" w:cs="Calibri" w:eastAsia="Calibri" w:hAnsi="Calibri"/>
                <w:b/>
                <w:bCs/>
                <w:sz w:val="19"/>
                <w:szCs w:val="19"/>
              </w:rPr>
              <w:t xml:space="preserve">Maße (BxHxT mm)</w:t>
            </w:r>
          </w:p>
        </w:tc>
        <w:tc>
          <w:tcPr>
            <w:tcW w:type="dxa" w:w="2200"/>
            <w:shd w:fill="D9D9D9" w:val="clear"/>
          </w:tcPr>
          <w:p>
            <w:r>
              <w:rPr>
                <w:rFonts w:ascii="Calibri" w:cs="Calibri" w:eastAsia="Calibri" w:hAnsi="Calibri"/>
                <w:b/>
                <w:bCs/>
                <w:sz w:val="19"/>
                <w:szCs w:val="19"/>
              </w:rPr>
              <w:t xml:space="preserve">Bemerkung</w:t>
            </w:r>
          </w:p>
        </w:tc>
      </w:tr>
      <w:tr>
        <w:tc>
          <w:tcPr>
            <w:tcW w:type="dxa" w:w="2200"/>
          </w:tcPr>
          <w:p>
            <w:r>
              <w:rPr>
                <w:rFonts w:ascii="Calibri" w:cs="Calibri" w:eastAsia="Calibri" w:hAnsi="Calibri"/>
                <w:b w:val="false"/>
                <w:bCs w:val="false"/>
                <w:sz w:val="19"/>
                <w:szCs w:val="19"/>
              </w:rPr>
              <w:t xml:space="preserve">Korpus</w:t>
            </w:r>
          </w:p>
        </w:tc>
        <w:tc>
          <w:tcPr>
            <w:tcW w:type="dxa" w:w="3000"/>
          </w:tcPr>
          <w:p>
            <w:r>
              <w:rPr>
                <w:rFonts w:ascii="Calibri" w:cs="Calibri" w:eastAsia="Calibri" w:hAnsi="Calibri"/>
                <w:b w:val="false"/>
                <w:bCs w:val="false"/>
                <w:sz w:val="19"/>
                <w:szCs w:val="19"/>
              </w:rPr>
              <w:t xml:space="preserve">Feuchtraum-Spanplatte, 19 mm</w:t>
            </w:r>
          </w:p>
        </w:tc>
        <w:tc>
          <w:tcPr>
            <w:tcW w:type="dxa" w:w="2400"/>
          </w:tcPr>
          <w:p>
            <w:r>
              <w:rPr>
                <w:rFonts w:ascii="Calibri" w:cs="Calibri" w:eastAsia="Calibri" w:hAnsi="Calibri"/>
                <w:b w:val="false"/>
                <w:bCs w:val="false"/>
                <w:sz w:val="19"/>
                <w:szCs w:val="19"/>
              </w:rPr>
              <w:t xml:space="preserve">500x720x350</w:t>
            </w:r>
          </w:p>
        </w:tc>
        <w:tc>
          <w:tcPr>
            <w:tcW w:type="dxa" w:w="2200"/>
          </w:tcPr>
          <w:p>
            <w:r>
              <w:rPr>
                <w:rFonts w:ascii="Calibri" w:cs="Calibri" w:eastAsia="Calibri" w:hAnsi="Calibri"/>
                <w:b w:val="false"/>
                <w:bCs w:val="false"/>
                <w:sz w:val="19"/>
                <w:szCs w:val="19"/>
              </w:rPr>
              <w:t xml:space="preserve">3 Korpusfarben</w:t>
            </w:r>
          </w:p>
        </w:tc>
      </w:tr>
      <w:tr>
        <w:tc>
          <w:tcPr>
            <w:tcW w:type="dxa" w:w="2200"/>
          </w:tcPr>
          <w:p>
            <w:r>
              <w:rPr>
                <w:rFonts w:ascii="Calibri" w:cs="Calibri" w:eastAsia="Calibri" w:hAnsi="Calibri"/>
                <w:b w:val="false"/>
                <w:bCs w:val="false"/>
                <w:sz w:val="19"/>
                <w:szCs w:val="19"/>
              </w:rPr>
              <w:t xml:space="preserve">Front</w:t>
            </w:r>
          </w:p>
        </w:tc>
        <w:tc>
          <w:tcPr>
            <w:tcW w:type="dxa" w:w="3000"/>
          </w:tcPr>
          <w:p>
            <w:r>
              <w:rPr>
                <w:rFonts w:ascii="Calibri" w:cs="Calibri" w:eastAsia="Calibri" w:hAnsi="Calibri"/>
                <w:b w:val="false"/>
                <w:bCs w:val="false"/>
                <w:sz w:val="19"/>
                <w:szCs w:val="19"/>
              </w:rPr>
              <w:t xml:space="preserve">MDF lackiert</w:t>
            </w:r>
          </w:p>
        </w:tc>
        <w:tc>
          <w:tcPr>
            <w:tcW w:type="dxa" w:w="2400"/>
          </w:tcPr>
          <w:p>
            <w:r>
              <w:rPr>
                <w:rFonts w:ascii="Calibri" w:cs="Calibri" w:eastAsia="Calibri" w:hAnsi="Calibri"/>
                <w:b w:val="false"/>
                <w:bCs w:val="false"/>
                <w:sz w:val="19"/>
                <w:szCs w:val="19"/>
              </w:rPr>
              <w:t xml:space="preserve">500x720x19</w:t>
            </w:r>
          </w:p>
        </w:tc>
        <w:tc>
          <w:tcPr>
            <w:tcW w:type="dxa" w:w="2200"/>
          </w:tcPr>
          <w:p>
            <w:r>
              <w:rPr>
                <w:rFonts w:ascii="Calibri" w:cs="Calibri" w:eastAsia="Calibri" w:hAnsi="Calibri"/>
                <w:b w:val="false"/>
                <w:bCs w:val="false"/>
                <w:sz w:val="19"/>
                <w:szCs w:val="19"/>
              </w:rPr>
              <w:t xml:space="preserve">Grifflos</w:t>
            </w:r>
          </w:p>
        </w:tc>
      </w:tr>
      <w:tr>
        <w:tc>
          <w:tcPr>
            <w:tcW w:type="dxa" w:w="2200"/>
          </w:tcPr>
          <w:p>
            <w:r>
              <w:rPr>
                <w:rFonts w:ascii="Calibri" w:cs="Calibri" w:eastAsia="Calibri" w:hAnsi="Calibri"/>
                <w:b w:val="false"/>
                <w:bCs w:val="false"/>
                <w:sz w:val="19"/>
                <w:szCs w:val="19"/>
              </w:rPr>
              <w:t xml:space="preserve">Legboden</w:t>
            </w:r>
          </w:p>
        </w:tc>
        <w:tc>
          <w:tcPr>
            <w:tcW w:type="dxa" w:w="3000"/>
          </w:tcPr>
          <w:p>
            <w:r>
              <w:rPr>
                <w:rFonts w:ascii="Calibri" w:cs="Calibri" w:eastAsia="Calibri" w:hAnsi="Calibri"/>
                <w:b w:val="false"/>
                <w:bCs w:val="false"/>
                <w:sz w:val="19"/>
                <w:szCs w:val="19"/>
              </w:rPr>
              <w:t xml:space="preserve">Spanplatte, 19 mm</w:t>
            </w:r>
          </w:p>
        </w:tc>
        <w:tc>
          <w:tcPr>
            <w:tcW w:type="dxa" w:w="2400"/>
          </w:tcPr>
          <w:p>
            <w:r>
              <w:rPr>
                <w:rFonts w:ascii="Calibri" w:cs="Calibri" w:eastAsia="Calibri" w:hAnsi="Calibri"/>
                <w:b w:val="false"/>
                <w:bCs w:val="false"/>
                <w:sz w:val="19"/>
                <w:szCs w:val="19"/>
              </w:rPr>
              <w:t xml:space="preserve">480x—x330</w:t>
            </w:r>
          </w:p>
        </w:tc>
        <w:tc>
          <w:tcPr>
            <w:tcW w:type="dxa" w:w="2200"/>
          </w:tcPr>
          <w:p>
            <w:r>
              <w:rPr>
                <w:rFonts w:ascii="Calibri" w:cs="Calibri" w:eastAsia="Calibri" w:hAnsi="Calibri"/>
                <w:b w:val="false"/>
                <w:bCs w:val="false"/>
                <w:sz w:val="19"/>
                <w:szCs w:val="19"/>
              </w:rPr>
              <w:t xml:space="preserve">Belastbar bis 15 kg</w:t>
            </w:r>
          </w:p>
        </w:tc>
      </w:tr>
      <w:tr>
        <w:tc>
          <w:tcPr>
            <w:tcW w:type="dxa" w:w="2200"/>
          </w:tcPr>
          <w:p>
            <w:r>
              <w:rPr>
                <w:rFonts w:ascii="Calibri" w:cs="Calibri" w:eastAsia="Calibri" w:hAnsi="Calibri"/>
                <w:b w:val="false"/>
                <w:bCs w:val="false"/>
                <w:sz w:val="19"/>
                <w:szCs w:val="19"/>
              </w:rPr>
              <w:t xml:space="preserve">Rückwand</w:t>
            </w:r>
          </w:p>
        </w:tc>
        <w:tc>
          <w:tcPr>
            <w:tcW w:type="dxa" w:w="3000"/>
          </w:tcPr>
          <w:p>
            <w:r>
              <w:rPr>
                <w:rFonts w:ascii="Calibri" w:cs="Calibri" w:eastAsia="Calibri" w:hAnsi="Calibri"/>
                <w:b w:val="false"/>
                <w:bCs w:val="false"/>
                <w:sz w:val="19"/>
                <w:szCs w:val="19"/>
              </w:rPr>
              <w:t xml:space="preserve">Spanplatte, 8 mm</w:t>
            </w:r>
          </w:p>
        </w:tc>
        <w:tc>
          <w:tcPr>
            <w:tcW w:type="dxa" w:w="2400"/>
          </w:tcPr>
          <w:p>
            <w:r>
              <w:rPr>
                <w:rFonts w:ascii="Calibri" w:cs="Calibri" w:eastAsia="Calibri" w:hAnsi="Calibri"/>
                <w:b w:val="false"/>
                <w:bCs w:val="false"/>
                <w:sz w:val="19"/>
                <w:szCs w:val="19"/>
              </w:rPr>
              <w:t xml:space="preserve">500x720x8</w:t>
            </w:r>
          </w:p>
        </w:tc>
        <w:tc>
          <w:tcPr>
            <w:tcW w:type="dxa" w:w="2200"/>
          </w:tcPr>
          <w:p>
            <w:r>
              <w:rPr>
                <w:rFonts w:ascii="Calibri" w:cs="Calibri" w:eastAsia="Calibri" w:hAnsi="Calibri"/>
                <w:b w:val="false"/>
                <w:bCs w:val="false"/>
                <w:sz w:val="19"/>
                <w:szCs w:val="19"/>
              </w:rPr>
              <w:t xml:space="preserve">—</w:t>
            </w:r>
          </w:p>
        </w:tc>
      </w:tr>
    </w:tbl>
    <w:p>
      <w:pPr>
        <w:spacing w:after="90"/>
      </w:pPr>
      <w:r>
        <w:rPr>
          <w:rFonts w:ascii="Calibri" w:cs="Calibri" w:eastAsia="Calibri" w:hAnsi="Calibri"/>
        </w:rPr>
        <w:t xml:space="preserve"/>
      </w:r>
    </w:p>
    <w:p>
      <w:pPr>
        <w:spacing w:after="90"/>
      </w:pPr>
      <w:r>
        <w:rPr>
          <w:rFonts w:ascii="Calibri" w:cs="Calibri" w:eastAsia="Calibri" w:hAnsi="Calibri"/>
        </w:rPr>
        <w:t xml:space="preserve">Alle Materialien entsprechen der Emissionsklasse E1 und sind mit den bestehenden Rotpunkt-Korpussystemen farblich abgestimmt. Der Korpus ist in den Farbtönen Weiß, Graphitgrau und Sandbeige erhältlich.</w:t>
      </w:r>
    </w:p>
    <w:p>
      <w:pPr>
        <w:pStyle w:val="Heading2"/>
        <w:spacing w:after="80" w:before="150"/>
      </w:pPr>
      <w:r>
        <w:t xml:space="preserve">2.1 Kompatibilität mit bestehenden Serien</w:t>
      </w:r>
    </w:p>
    <w:p>
      <w:pPr>
        <w:spacing w:after="90"/>
      </w:pPr>
      <w:r>
        <w:rPr>
          <w:rFonts w:ascii="Calibri" w:cs="Calibri" w:eastAsia="Calibri" w:hAnsi="Calibri"/>
        </w:rPr>
        <w:t xml:space="preserve">Cube 50 ist farblich auf die Korpustöne der Serien Linea 120, Solide 200 und Vario 75 abgestimmt, sodass eine optisch nahtlose Ergänzung bestehender Küchen möglich ist. Bei älteren, nicht mehr aktuellen Korpusfarben kann es zu geringfügigen Farbabweichungen kommen.</w:t>
      </w:r>
    </w:p>
    <w:p>
      <w:pPr>
        <w:pStyle w:val="Heading1"/>
        <w:spacing w:after="100" w:before="200"/>
      </w:pPr>
      <w:r>
        <w:t xml:space="preserve">3. Montage</w:t>
      </w:r>
    </w:p>
    <w:p>
      <w:pPr>
        <w:spacing w:after="90"/>
      </w:pPr>
      <w:r>
        <w:rPr>
          <w:rFonts w:ascii="Calibri" w:cs="Calibri" w:eastAsia="Calibri" w:hAnsi="Calibri"/>
        </w:rPr>
        <w:t xml:space="preserve">Die Montage erfolgt über das Neo-Klicksystem, eine werkzeuglose Verbindung zwischen Cube 50 und dem angrenzenden Korpus. Das System rastet hörbar ein und ist ausschließlich für die Verbindung gleicher Korpushöhen (720 mm) vorgesehen.</w:t>
      </w:r>
    </w:p>
    <w:p>
      <w:pPr>
        <w:spacing w:after="90"/>
      </w:pPr>
      <w:r>
        <w:rPr>
          <w:rFonts w:ascii="Calibri" w:cs="Calibri" w:eastAsia="Calibri" w:hAnsi="Calibri"/>
        </w:rPr>
        <w:t xml:space="preserve">Vor der Montage ist sicherzustellen, dass der angrenzende Korpus über die passende Klickaufnahme verfügt. Ältere Rotpunkt-Korpussysteme vor 2024 sind nicht mit dem Neo-Klicksystem kompatibel und benötigen einen separaten Adapter.</w:t>
      </w:r>
    </w:p>
    <w:p>
      <w:pPr>
        <w:pStyle w:val="Heading2"/>
        <w:spacing w:after="80" w:before="150"/>
      </w:pPr>
      <w:r>
        <w:t xml:space="preserve">3.1 Montageschritte</w:t>
      </w:r>
    </w:p>
    <w:p>
      <w:pPr>
        <w:spacing w:after="90"/>
      </w:pPr>
      <w:r>
        <w:rPr>
          <w:rFonts w:ascii="Calibri" w:cs="Calibri" w:eastAsia="Calibri" w:hAnsi="Calibri"/>
        </w:rPr>
        <w:t xml:space="preserve">Die Montage erfolgt in drei Schritten: Zunächst wird die Klickaufnahme am angrenzenden Korpus auf Sauberkeit und Unversehrtheit geprüft. Anschließend wird Cube 50 im vorgesehenen Winkel angesetzt und bis zum hörbaren Einrasten des Neo-Klicksystems eingeschoben. Abschließend wird die Verbindung durch leichten Druck auf beide Korpusseiten auf festen Sitz geprüft.</w:t>
      </w:r>
    </w:p>
    <w:p>
      <w:pPr>
        <w:spacing w:after="90"/>
      </w:pPr>
      <w:r>
        <w:rPr>
          <w:rFonts w:ascii="Calibri" w:cs="Calibri" w:eastAsia="Calibri" w:hAnsi="Calibri"/>
        </w:rPr>
        <w:t xml:space="preserve">Eine nachträgliche Demontage ist über die im Lieferumfang enthaltene Löseklammer möglich, ohne dass der Korpus beschädigt wird.</w:t>
      </w:r>
    </w:p>
    <w:p>
      <w:pPr>
        <w:pStyle w:val="Heading2"/>
        <w:spacing w:after="80" w:before="150"/>
      </w:pPr>
      <w:r>
        <w:t xml:space="preserve">3.2 Hinweise für den Fachhandel</w:t>
      </w:r>
    </w:p>
    <w:p>
      <w:pPr>
        <w:spacing w:after="90"/>
      </w:pPr>
      <w:r>
        <w:rPr>
          <w:rFonts w:ascii="Calibri" w:cs="Calibri" w:eastAsia="Calibri" w:hAnsi="Calibri"/>
        </w:rPr>
        <w:t xml:space="preserve">Bei Nachrüstprojekten empfiehlt es sich, vor der Bestellung die Korpushöhe und das Baujahr der bestehenden Küche zu prüfen, da das Neo-Klicksystem nur mit Korpussystemen ab Baujahr 2024 kompatibel ist. Bei älteren Küchen sollte der separate Adapter mitbestellt werden, um Verzögerungen bei der Montage zu vermeiden.</w:t>
      </w:r>
    </w:p>
    <w:p>
      <w:pPr>
        <w:pStyle w:val="Heading1"/>
        <w:spacing w:after="100" w:before="200"/>
      </w:pPr>
      <w:r>
        <w:t xml:space="preserve">4. Pflege und Reinigung</w:t>
      </w:r>
    </w:p>
    <w:p>
      <w:pPr>
        <w:spacing w:after="90"/>
      </w:pPr>
      <w:r>
        <w:rPr>
          <w:rFonts w:ascii="Calibri" w:cs="Calibri" w:eastAsia="Calibri" w:hAnsi="Calibri"/>
        </w:rPr>
        <w:t xml:space="preserve">Die Front sollte mit einem leicht feuchten, weichen Tuch gereinigt werden. Scheuernde oder lösemittelhaltige Reinigungsmittel sind zu vermeiden, da diese die Oberflächenbeschichtung beschädigen können.</w:t>
      </w:r>
    </w:p>
    <w:p>
      <w:pPr>
        <w:spacing w:after="90"/>
      </w:pPr>
      <w:r>
        <w:rPr>
          <w:rFonts w:ascii="Calibri" w:cs="Calibri" w:eastAsia="Calibri" w:hAnsi="Calibri"/>
        </w:rPr>
        <w:t xml:space="preserve">Der Korpus ist im Innenbereich mit einem trockenen Tuch zu reinigen. Feuchtigkeit im Innenraum ist zu vermeiden, insbesondere im Bereich des Legbodens.</w:t>
      </w:r>
    </w:p>
    <w:p>
      <w:r>
        <w:br w:type="page"/>
      </w:r>
    </w:p>
    <w:p>
      <w:pPr>
        <w:spacing w:after="100" w:before="200"/>
      </w:pPr>
      <w:r>
        <w:rPr>
          <w:rFonts w:ascii="Calibri" w:cs="Calibri" w:eastAsia="Calibri" w:hAnsi="Calibri"/>
          <w:b/>
          <w:bCs/>
          <w:sz w:val="22"/>
          <w:szCs w:val="22"/>
        </w:rPr>
        <w:t xml:space="preserve">5. Artikelnummer und Bestellung</w:t>
      </w:r>
    </w:p>
    <w:p>
      <w:pPr>
        <w:spacing w:after="90"/>
      </w:pPr>
      <w:r>
        <w:rPr>
          <w:rFonts w:ascii="Calibri" w:cs="Calibri" w:eastAsia="Calibri" w:hAnsi="Calibri"/>
        </w:rPr>
        <w:t xml:space="preserve">Die Artikelnummer für das Referenzmodul lautet RP-CB50-1120 (Korpusfarbe Weiß, Frontfarbe Weiß, grifflos). Diese Artikelnummer ist bei jeder Bestellung anzugeben.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400"/>
        <w:gridCol w:w="2400"/>
      </w:tblGrid>
      <w:tr>
        <w:trPr>
          <w:tblHeader/>
        </w:trPr>
        <w:tc>
          <w:tcPr>
            <w:tcW w:type="dxa" w:w="2600"/>
            <w:shd w:fill="D9D9D9" w:val="clear"/>
          </w:tcPr>
          <w:p>
            <w:r>
              <w:rPr>
                <w:rFonts w:ascii="Calibri" w:cs="Calibri" w:eastAsia="Calibri" w:hAnsi="Calibri"/>
                <w:b/>
                <w:bCs/>
                <w:sz w:val="19"/>
                <w:szCs w:val="19"/>
              </w:rPr>
              <w:t xml:space="preserve">Artikelnummer</w:t>
            </w:r>
          </w:p>
        </w:tc>
        <w:tc>
          <w:tcPr>
            <w:tcW w:type="dxa" w:w="2400"/>
            <w:shd w:fill="D9D9D9" w:val="clear"/>
          </w:tcPr>
          <w:p>
            <w:r>
              <w:rPr>
                <w:rFonts w:ascii="Calibri" w:cs="Calibri" w:eastAsia="Calibri" w:hAnsi="Calibri"/>
                <w:b/>
                <w:bCs/>
                <w:sz w:val="19"/>
                <w:szCs w:val="19"/>
              </w:rPr>
              <w:t xml:space="preserve">Korpusfarbe</w:t>
            </w:r>
          </w:p>
        </w:tc>
        <w:tc>
          <w:tcPr>
            <w:tcW w:type="dxa" w:w="2400"/>
            <w:shd w:fill="D9D9D9" w:val="clear"/>
          </w:tcPr>
          <w:p>
            <w:r>
              <w:rPr>
                <w:rFonts w:ascii="Calibri" w:cs="Calibri" w:eastAsia="Calibri" w:hAnsi="Calibri"/>
                <w:b/>
                <w:bCs/>
                <w:sz w:val="19"/>
                <w:szCs w:val="19"/>
              </w:rPr>
              <w:t xml:space="preserve">Frontfarbe</w:t>
            </w:r>
          </w:p>
        </w:tc>
        <w:tc>
          <w:tcPr>
            <w:tcW w:type="dxa" w:w="2400"/>
            <w:shd w:fill="D9D9D9" w:val="clear"/>
          </w:tcPr>
          <w:p>
            <w:r>
              <w:rPr>
                <w:rFonts w:ascii="Calibri" w:cs="Calibri" w:eastAsia="Calibri" w:hAnsi="Calibri"/>
                <w:b/>
                <w:bCs/>
                <w:sz w:val="19"/>
                <w:szCs w:val="19"/>
              </w:rPr>
              <w:t xml:space="preserve">Preis (netto)</w:t>
            </w:r>
          </w:p>
        </w:tc>
      </w:tr>
      <w:tr>
        <w:tc>
          <w:tcPr>
            <w:tcW w:type="dxa" w:w="2600"/>
          </w:tcPr>
          <w:p>
            <w:r>
              <w:rPr>
                <w:rFonts w:ascii="Calibri" w:cs="Calibri" w:eastAsia="Calibri" w:hAnsi="Calibri"/>
                <w:b w:val="false"/>
                <w:bCs w:val="false"/>
                <w:sz w:val="19"/>
                <w:szCs w:val="19"/>
              </w:rPr>
              <w:t xml:space="preserve">RP-CB50-1120</w:t>
            </w:r>
          </w:p>
        </w:tc>
        <w:tc>
          <w:tcPr>
            <w:tcW w:type="dxa" w:w="2400"/>
          </w:tcPr>
          <w:p>
            <w:r>
              <w:rPr>
                <w:rFonts w:ascii="Calibri" w:cs="Calibri" w:eastAsia="Calibri" w:hAnsi="Calibri"/>
                <w:b w:val="false"/>
                <w:bCs w:val="false"/>
                <w:sz w:val="19"/>
                <w:szCs w:val="19"/>
              </w:rPr>
              <w:t xml:space="preserve">Weiß</w:t>
            </w:r>
          </w:p>
        </w:tc>
        <w:tc>
          <w:tcPr>
            <w:tcW w:type="dxa" w:w="2400"/>
          </w:tcPr>
          <w:p>
            <w:r>
              <w:rPr>
                <w:rFonts w:ascii="Calibri" w:cs="Calibri" w:eastAsia="Calibri" w:hAnsi="Calibri"/>
                <w:b w:val="false"/>
                <w:bCs w:val="false"/>
                <w:sz w:val="19"/>
                <w:szCs w:val="19"/>
              </w:rPr>
              <w:t xml:space="preserve">Weiß</w:t>
            </w:r>
          </w:p>
        </w:tc>
        <w:tc>
          <w:tcPr>
            <w:tcW w:type="dxa" w:w="2400"/>
          </w:tcPr>
          <w:p>
            <w:r>
              <w:rPr>
                <w:rFonts w:ascii="Calibri" w:cs="Calibri" w:eastAsia="Calibri" w:hAnsi="Calibri"/>
                <w:b w:val="false"/>
                <w:bCs w:val="false"/>
                <w:sz w:val="19"/>
                <w:szCs w:val="19"/>
              </w:rPr>
              <w:t xml:space="preserve">89,00 €</w:t>
            </w:r>
          </w:p>
        </w:tc>
      </w:tr>
      <w:tr>
        <w:tc>
          <w:tcPr>
            <w:tcW w:type="dxa" w:w="2600"/>
          </w:tcPr>
          <w:p>
            <w:r>
              <w:rPr>
                <w:rFonts w:ascii="Calibri" w:cs="Calibri" w:eastAsia="Calibri" w:hAnsi="Calibri"/>
                <w:b w:val="false"/>
                <w:bCs w:val="false"/>
                <w:sz w:val="19"/>
                <w:szCs w:val="19"/>
              </w:rPr>
              <w:t xml:space="preserve">RP-CB50-1121</w:t>
            </w:r>
          </w:p>
        </w:tc>
        <w:tc>
          <w:tcPr>
            <w:tcW w:type="dxa" w:w="2400"/>
          </w:tcPr>
          <w:p>
            <w:r>
              <w:rPr>
                <w:rFonts w:ascii="Calibri" w:cs="Calibri" w:eastAsia="Calibri" w:hAnsi="Calibri"/>
                <w:b w:val="false"/>
                <w:bCs w:val="false"/>
                <w:sz w:val="19"/>
                <w:szCs w:val="19"/>
              </w:rPr>
              <w:t xml:space="preserve">Graphitgrau</w:t>
            </w:r>
          </w:p>
        </w:tc>
        <w:tc>
          <w:tcPr>
            <w:tcW w:type="dxa" w:w="2400"/>
          </w:tcPr>
          <w:p>
            <w:r>
              <w:rPr>
                <w:rFonts w:ascii="Calibri" w:cs="Calibri" w:eastAsia="Calibri" w:hAnsi="Calibri"/>
                <w:b w:val="false"/>
                <w:bCs w:val="false"/>
                <w:sz w:val="19"/>
                <w:szCs w:val="19"/>
              </w:rPr>
              <w:t xml:space="preserve">Anthrazit</w:t>
            </w:r>
          </w:p>
        </w:tc>
        <w:tc>
          <w:tcPr>
            <w:tcW w:type="dxa" w:w="2400"/>
          </w:tcPr>
          <w:p>
            <w:r>
              <w:rPr>
                <w:rFonts w:ascii="Calibri" w:cs="Calibri" w:eastAsia="Calibri" w:hAnsi="Calibri"/>
                <w:b w:val="false"/>
                <w:bCs w:val="false"/>
                <w:sz w:val="19"/>
                <w:szCs w:val="19"/>
              </w:rPr>
              <w:t xml:space="preserve">94,00 €</w:t>
            </w:r>
          </w:p>
        </w:tc>
      </w:tr>
    </w:tbl>
    <w:p>
      <w:pPr>
        <w:spacing w:after="90"/>
      </w:pPr>
      <w:r>
        <w:rPr>
          <w:rFonts w:ascii="Calibri" w:cs="Calibri" w:eastAsia="Calibri" w:hAnsi="Calibri"/>
        </w:rPr>
        <w:t xml:space="preserve">Bei Nachbestellungen ist stets die vollständige Artikelnummer RP-CB50-1120 (bzw. die entsprechende Variante) anzugeben.</w:t>
      </w:r>
    </w:p>
    <w:p>
      <w:pPr>
        <w:pStyle w:val="Heading1"/>
        <w:spacing w:after="100" w:before="200"/>
      </w:pPr>
      <w:r>
        <w:t xml:space="preserve">6. Garantie</w:t>
      </w:r>
    </w:p>
    <w:p>
      <w:pPr>
        <w:spacing w:after="90"/>
      </w:pPr>
      <w:r>
        <w:rPr>
          <w:rFonts w:ascii="Calibri" w:cs="Calibri" w:eastAsia="Calibri" w:hAnsi="Calibri"/>
        </w:rPr>
        <w:t xml:space="preserve">Rotpunkt Küchen GmbH gewährt auf Cube 50 eine Herstellergarantie von 5 Jahren ab Kaufdatum, bei fachgerechter Montage über das Neo-Klicksystem gemäß Montageanleitung.</w:t>
      </w:r>
    </w:p>
    <w:p>
      <w:pPr>
        <w:spacing w:after="90"/>
      </w:pPr>
      <w:r>
        <w:rPr>
          <w:rFonts w:ascii="Calibri" w:cs="Calibri" w:eastAsia="Calibri" w:hAnsi="Calibri"/>
        </w:rPr>
        <w:t xml:space="preserve">Von der Garantie ausgeschlossen sind Schäden, die auf eine unsachgemäße Montage, eine nicht kompatible Korpushöhe oder die Verwendung nicht originaler Klickaufnahmen zurückzuführen sind.</w:t>
      </w:r>
    </w:p>
    <w:p>
      <w:pPr>
        <w:spacing w:after="90"/>
      </w:pPr>
      <w:r>
        <w:rPr>
          <w:rFonts w:ascii="Calibri" w:cs="Calibri" w:eastAsia="Calibri" w:hAnsi="Calibri"/>
        </w:rPr>
        <w:t xml:space="preserve">Für technische Rückfragen zu diesem Datenblatt wenden Sie sich bitte an die zuständige Fachhandelsabteilung oder an die technische Auskunft von Rotpunkt Küchen GmbH.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2026-08-08T07:48:05.254Z</dcterms:created>
  <dcterms:modified xsi:type="dcterms:W3CDTF">2026-08-08T07:48:05.255Z</dcterms:modified>
</cp:coreProperties>
</file>

<file path=docProps/custom.xml><?xml version="1.0" encoding="utf-8"?>
<Properties xmlns="http://schemas.openxmlformats.org/officeDocument/2006/custom-properties" xmlns:vt="http://schemas.openxmlformats.org/officeDocument/2006/docPropsVTypes"/>
</file>