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52"/>
          <w:szCs w:val="52"/>
        </w:rPr>
        <w:t xml:space="preserve">EU AI Act RAG — Project Roadmap</w:t>
      </w:r>
    </w:p>
    <w:p>
      <w:pPr>
        <w:spacing w:before="0" w:after="240"/>
        <w:jc w:val="center"/>
      </w:pPr>
      <w:r>
        <w:rPr>
          <w:rFonts w:ascii="Arial" w:cs="Arial" w:eastAsia="Arial" w:hAnsi="Arial"/>
          <w:i/>
          <w:iCs/>
          <w:color w:val="6B7280"/>
          <w:sz w:val="28"/>
          <w:szCs w:val="28"/>
        </w:rPr>
        <w:t xml:space="preserve">From Proof of Concept to Production-Grade Legal RAG</w:t>
      </w:r>
    </w:p>
    <w:p>
      <w:pPr>
        <w:spacing w:before="0" w:after="1440"/>
        <w:jc w:val="center"/>
      </w:pPr>
      <w:r>
        <w:rPr>
          <w:rFonts w:ascii="Arial" w:cs="Arial" w:eastAsia="Arial" w:hAnsi="Arial"/>
          <w:color w:val="0D9488"/>
          <w:sz w:val="22"/>
          <w:szCs w:val="22"/>
        </w:rPr>
        <w:t xml:space="preserve">Based on work done so far + SPARQL citation discovery</w:t>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1. Where We Are — Complete Project Inventory</w:t>
      </w:r>
    </w:p>
    <w:p>
      <w:pPr>
        <w:spacing w:before="0" w:after="160"/>
        <w:jc w:val="both"/>
      </w:pPr>
      <w:r>
        <w:rPr>
          <w:rFonts w:ascii="Arial" w:cs="Arial" w:eastAsia="Arial" w:hAnsi="Arial"/>
          <w:sz w:val="22"/>
          <w:szCs w:val="22"/>
        </w:rPr>
        <w:t xml:space="preserve">This document was written with full knowledge of every notebook in the repository. Here is an honest assessment of what has been built, what works well, and what is incomplete or missing.</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1.1  Notebooks Built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Component</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Status</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Chunking_and_embedding.ipynb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First attempt — page-wise + recursive splitter. Superseded by v2 but shows the evolution.</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Chunking v2.ipynb</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Structure-aware: 180 recitals, 113 articles, 12 annexes. Rich metadata. This is the foundation.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chain.ipynb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Basic RAG chain — LangChain + OpenRouter + Chroma. Simple but works.</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chain v2.1.ipynb</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97706"/>
                <w:sz w:val="22"/>
                <w:szCs w:val="22"/>
              </w:rPr>
              <w:t xml:space="preserve">🔄 Partial</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Added query routing prompt. Incomplete — rag_chain never wired up (NameError in repo).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eu_ai_act_retrieval.ipynb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Complete retrieval research: BM25, PRF, hybrid RRF, one-hop expansion, context assembly.</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eu_ai_act_agent.ipynb</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Full LangGraph agent: Self-RAG, CRAG, multi-query, reranker, hallucination guard. 11 nodes.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llm_article_recital_map.ipynb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363 LLM-verified article→recital edges. Avg 3.5 recitals/article. Audit trail saved.</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eurlex_sparql_tutorial.ipynb</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SPARQL tutorial + EUR-Lex integration. Virtuoso 8 fix applied. GDPR/external fetch pipeline.</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1.2  Artifacts Produced</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Component</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Status</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all_chunks.json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452 chunks — 180 recitals, 260 articles (post-split), 12 annexes. Rich typed metadata.</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hierarchy.json</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Chapter → Section → Article navigation map.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article_recital_map_llm.json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363 edges, LLM-verified, avg 3.5 recitals/article. Replaces naive 3-signal map.</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article_recital_reasons_llm.json</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Audit trail — one reason string per recital→article assignment.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ChromaDB (chroma_db_3)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6A34A"/>
                <w:sz w:val="22"/>
                <w:szCs w:val="22"/>
              </w:rPr>
              <w:t xml:space="preserve">✅ Done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qwen3-embedding-8b embeddings, 452 chunks, pagewise collection.</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Knowledge Graph (nodes + edges)</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Missing</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All graph data lives in JSON files. No graph database. No Cypher queries.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Definition Map (Art 3 → articles)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Missing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65+ definitions undefined. No tracking of which articles use each term.</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Obligation / Penalty Nodes</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Missing</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Art 9–16 obligations not extracted as named nodes. Art 99 penalties not structured.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External Corpus (GDPR, MedDev...)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Missing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SPARQL reveals 40 cited documents. None ingested. Dangling refs not resolved.</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Evaluation Framework</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Missing</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No test set. No RAGAS scores. No way to measure if changes improve the system.</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1.3  What the SPARQL Discovery Tells Us</w:t>
      </w:r>
    </w:p>
    <w:p>
      <w:pPr>
        <w:spacing w:before="0" w:after="160"/>
        <w:jc w:val="both"/>
      </w:pPr>
      <w:r>
        <w:rPr>
          <w:rFonts w:ascii="Arial" w:cs="Arial" w:eastAsia="Arial" w:hAnsi="Arial"/>
          <w:sz w:val="22"/>
          <w:szCs w:val="22"/>
        </w:rPr>
        <w:t xml:space="preserve">The SPARQL query on the EU AI Act's citation graph returned 40 secondary legislation documents. Filtering to what actually matters for answering legal questions: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Component</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Status</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32016R0679 — GDPR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Art 10(5) references it. Biometric data, personal data processing rules.</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32016L0680 — LED</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Critical</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Law Enforcement Directive. Art 5 prohibited biometrics use law enforcement context.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32018R1725 — EUDPR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Art 10(5) alongside GDPR. EU institution data protection.</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32019L0790 — Copyright Dir.</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Critical</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GPAI training data. Text and data mining exceptions. Art 53 questions.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32017R0745 — Medical Devices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Important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Annex I Section A. High-risk classification for medical AI.</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32017R0746 — IVD Regulation</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Important</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In-vitro diagnostics. Also in Annex I Section A high-risk list.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32019R1020 — Market Surveillance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Important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Conformity assessment framework. Art 9 alignment.</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32008R0765 — NLF</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Important</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New Legislative Framework. CE marking, notified bodies backbone.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32019R0881 — Cybersecurity 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Useful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AI system cybersecurity requirements. Art 15 accuracy/robustness.</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32022R0868 — Data Governance Act</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Useful</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Data spaces, data altruism. Interacts with GPAI data requirements.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32022R2065 — DSA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Useful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Digital Services Act. Interacts with AI systems used by very large platforms.</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32023R2854 — Data Act</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Useful</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Machine-generated data rights. GPAI training data context.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32023R0988 — GPSR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Useful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General Product Safety Reg. Replaces old Machinery Directive, Annex I reference.</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Others (27 documents)</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Reference</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Banking directives, comitology, IIA — cited procedurally, not substantively relevant.</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2. The Gap Between Current State and Perfect RAG</w:t>
      </w:r>
    </w:p>
    <w:p>
      <w:pPr>
        <w:spacing w:before="0" w:after="160"/>
        <w:jc w:val="both"/>
      </w:pPr>
      <w:r>
        <w:rPr>
          <w:rFonts w:ascii="Arial" w:cs="Arial" w:eastAsia="Arial" w:hAnsi="Arial"/>
          <w:sz w:val="22"/>
          <w:szCs w:val="22"/>
        </w:rPr>
        <w:t xml:space="preserve">Before listing next steps, it helps to understand precisely WHAT makes this RAG system imperfect right now. Each gap has a concrete symptom — something a user would experience as a wrong or incomplete answer.</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2.1  Gap 1: Embedding-First Retrieval With a Known-Bad Embedding Model</w:t>
      </w:r>
    </w:p>
    <w:p>
      <w:pPr>
        <w:spacing w:before="0" w:after="160"/>
        <w:jc w:val="both"/>
      </w:pPr>
      <w:r>
        <w:rPr>
          <w:rFonts w:ascii="Arial" w:cs="Arial" w:eastAsia="Arial" w:hAnsi="Arial"/>
          <w:sz w:val="22"/>
          <w:szCs w:val="22"/>
        </w:rPr>
        <w:t xml:space="preserve">The K-sweep we ran proved that qwen3-embedding-8b finds only 15% of confirmed recital→article links at K=30. The system is doing embedding search first for ALL retrievals, including relationships that are already pre-computed as edges in our JSON files.</w:t>
      </w:r>
    </w:p>
    <w:p>
      <w:pPr>
        <w:spacing w:before="0" w:after="160"/>
        <w:jc w:val="both"/>
      </w:pPr>
      <w:r>
        <w:rPr>
          <w:rFonts w:ascii="Arial" w:cs="Arial" w:eastAsia="Arial" w:hAnsi="Arial"/>
          <w:sz w:val="22"/>
          <w:szCs w:val="22"/>
        </w:rPr>
        <w:t xml:space="preserve">Symptom: A query about "provider obligations under Article 16" may miss the recitals that explain WHY those obligations exist — even though we have a verified map of 15 recitals linked to Article 16. The map exists but is not used as the primary retrieval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CCCCCC" w:sz="1"/>
              <w:right w:val="single" w:color="CCCCCC" w:sz="1"/>
            </w:tcBorders>
            <w:shd w:fill="EFF6FF" w:val="clear"/>
            <w:tcMar>
              <w:top w:type="dxa" w:w="120"/>
              <w:left w:type="dxa" w:w="200"/>
              <w:bottom w:type="dxa" w:w="120"/>
              <w:right w:type="dxa" w:w="200"/>
            </w:tcMar>
          </w:tcPr>
          <w:p>
            <w:pPr>
              <w:spacing w:before="0" w:after="80"/>
            </w:pPr>
            <w:r>
              <w:rPr>
                <w:rFonts w:ascii="Arial" w:cs="Arial" w:eastAsia="Arial" w:hAnsi="Arial"/>
                <w:b/>
                <w:bCs/>
                <w:color w:val="2563EB"/>
                <w:sz w:val="22"/>
                <w:szCs w:val="22"/>
              </w:rPr>
              <w:t xml:space="preserve">NOTE</w:t>
            </w:r>
          </w:p>
          <w:p>
            <w:pPr>
              <w:spacing w:before="0" w:after="0"/>
            </w:pPr>
            <w:r>
              <w:rPr>
                <w:rFonts w:ascii="Arial" w:cs="Arial" w:eastAsia="Arial" w:hAnsi="Arial"/>
                <w:sz w:val="22"/>
                <w:szCs w:val="22"/>
              </w:rPr>
              <w:t xml:space="preserve">The article_recital_map_llm.json has 363 verified edges. At query time, if the system retrieves Article 16, it should deterministically look up its recitals from this map — not search for them via embeddings. This is not implemented yet.</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2.2  Gap 2: No Structural Graph — All Relations Exist Only As JSON</w:t>
      </w:r>
    </w:p>
    <w:p>
      <w:pPr>
        <w:spacing w:before="0" w:after="160"/>
        <w:jc w:val="both"/>
      </w:pPr>
      <w:r>
        <w:rPr>
          <w:rFonts w:ascii="Arial" w:cs="Arial" w:eastAsia="Arial" w:hAnsi="Arial"/>
          <w:sz w:val="22"/>
          <w:szCs w:val="22"/>
        </w:rPr>
        <w:t xml:space="preserve">The REFERENCES edges between articles (Article 16 → Article 9 → Article 10...) are stored in the referenced_articles field of each chunk's metadata. At query time, one-hop expansion does follow these. But:</w:t>
      </w:r>
    </w:p>
    <w:p>
      <w:pPr>
        <w:pStyle w:val="ListParagraph"/>
        <w:numPr>
          <w:ilvl w:val="0"/>
          <w:numId w:val="2"/>
        </w:numPr>
        <w:spacing w:before="60" w:after="60"/>
      </w:pPr>
      <w:r>
        <w:rPr>
          <w:rFonts w:ascii="Arial" w:cs="Arial" w:eastAsia="Arial" w:hAnsi="Arial"/>
          <w:sz w:val="22"/>
          <w:szCs w:val="22"/>
        </w:rPr>
        <w:t xml:space="preserve">There is no way to query "which articles reference Article 6?" without scanning all 452 chunks</w:t>
      </w:r>
    </w:p>
    <w:p>
      <w:pPr>
        <w:pStyle w:val="ListParagraph"/>
        <w:numPr>
          <w:ilvl w:val="0"/>
          <w:numId w:val="2"/>
        </w:numPr>
        <w:spacing w:before="60" w:after="60"/>
      </w:pPr>
      <w:r>
        <w:rPr>
          <w:rFonts w:ascii="Arial" w:cs="Arial" w:eastAsia="Arial" w:hAnsi="Arial"/>
          <w:sz w:val="22"/>
          <w:szCs w:val="22"/>
        </w:rPr>
        <w:t xml:space="preserve">The recital→article map is a separate JSON file, not connected to the chunks in any queryable structure</w:t>
      </w:r>
    </w:p>
    <w:p>
      <w:pPr>
        <w:pStyle w:val="ListParagraph"/>
        <w:numPr>
          <w:ilvl w:val="0"/>
          <w:numId w:val="2"/>
        </w:numPr>
        <w:spacing w:before="60" w:after="60"/>
      </w:pPr>
      <w:r>
        <w:rPr>
          <w:rFonts w:ascii="Arial" w:cs="Arial" w:eastAsia="Arial" w:hAnsi="Arial"/>
          <w:sz w:val="22"/>
          <w:szCs w:val="22"/>
        </w:rPr>
        <w:t xml:space="preserve">Definition tracking (Article 3 terms used in Article 16) does not exist at all</w:t>
      </w:r>
    </w:p>
    <w:p>
      <w:pPr>
        <w:pStyle w:val="ListParagraph"/>
        <w:numPr>
          <w:ilvl w:val="0"/>
          <w:numId w:val="2"/>
        </w:numPr>
        <w:spacing w:before="60" w:after="60"/>
      </w:pPr>
      <w:r>
        <w:rPr>
          <w:rFonts w:ascii="Arial" w:cs="Arial" w:eastAsia="Arial" w:hAnsi="Arial"/>
          <w:sz w:val="22"/>
          <w:szCs w:val="22"/>
        </w:rPr>
        <w:t xml:space="preserve">Penalty nodes (Article 99 amounts) are not structured — buried in text</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Symptom: A query "what penalties apply to a GPAI provider?" requires connecting Article 53 (GPAI obligations) → Article 99 (penalties) → Article 101 (GPAI-specific penalties). The one-hop expander follows REFERENCES edges forward but the penalty structure inside Article 99 is text, not a queryable node.</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2.3  Gap 3: No External Corpus — Every Cross-Regulation Query Fails</w:t>
      </w:r>
    </w:p>
    <w:p>
      <w:pPr>
        <w:spacing w:before="0" w:after="160"/>
        <w:jc w:val="both"/>
      </w:pPr>
      <w:r>
        <w:rPr>
          <w:rFonts w:ascii="Arial" w:cs="Arial" w:eastAsia="Arial" w:hAnsi="Arial"/>
          <w:sz w:val="22"/>
          <w:szCs w:val="22"/>
        </w:rPr>
        <w:t xml:space="preserve">When a user asks "what data protection safeguards apply when I process biometric data for bias detection under Article 10?" — the answer requires Article 10(5) of the EU AI Act PLUS Article 9 of GDPR. GDPR is not in the corpus. The agent will give a partial answer or hallucinate the GDPR content.</w:t>
      </w:r>
    </w:p>
    <w:p>
      <w:pPr>
        <w:spacing w:before="0" w:after="160"/>
        <w:jc w:val="both"/>
      </w:pPr>
      <w:r>
        <w:rPr>
          <w:rFonts w:ascii="Arial" w:cs="Arial" w:eastAsia="Arial" w:hAnsi="Arial"/>
          <w:sz w:val="22"/>
          <w:szCs w:val="22"/>
        </w:rPr>
        <w:t xml:space="preserve">The SPARQL discovery found that 3 documents are critical (GDPR, LED, Copyright Directive), 4 are important (Medical Devices, IVD, Market Surveillance, NLF), and 5 are useful (Cybersecurity Act, Data Governance, DSA, Data Act, GPSR). None are ingested.</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2.4  Gap 4: No Evaluation Framework</w:t>
      </w:r>
    </w:p>
    <w:p>
      <w:pPr>
        <w:spacing w:before="0" w:after="160"/>
        <w:jc w:val="both"/>
      </w:pPr>
      <w:r>
        <w:rPr>
          <w:rFonts w:ascii="Arial" w:cs="Arial" w:eastAsia="Arial" w:hAnsi="Arial"/>
          <w:sz w:val="22"/>
          <w:szCs w:val="22"/>
        </w:rPr>
        <w:t xml:space="preserve">This is the most dangerous gap. Without a test set and metrics, you cannot know if any improvement actually helps. You are flying blind. Every decision — which embedding model, which K, whether to add GDPR — is a guess without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CCCCCC" w:sz="1"/>
              <w:right w:val="single" w:color="CCCCCC" w:sz="1"/>
            </w:tcBorders>
            <w:shd w:fill="FEF3C7" w:val="clear"/>
            <w:tcMar>
              <w:top w:type="dxa" w:w="120"/>
              <w:left w:type="dxa" w:w="200"/>
              <w:bottom w:type="dxa" w:w="120"/>
              <w:right w:type="dxa" w:w="200"/>
            </w:tcMar>
          </w:tcPr>
          <w:p>
            <w:pPr>
              <w:spacing w:before="0" w:after="80"/>
            </w:pPr>
            <w:r>
              <w:rPr>
                <w:rFonts w:ascii="Arial" w:cs="Arial" w:eastAsia="Arial" w:hAnsi="Arial"/>
                <w:b/>
                <w:bCs/>
                <w:color w:val="D97706"/>
                <w:sz w:val="22"/>
                <w:szCs w:val="22"/>
              </w:rPr>
              <w:t xml:space="preserve">KEY INSIGHT</w:t>
            </w:r>
          </w:p>
          <w:p>
            <w:pPr>
              <w:spacing w:before="0" w:after="0"/>
            </w:pPr>
            <w:r>
              <w:rPr>
                <w:rFonts w:ascii="Arial" w:cs="Arial" w:eastAsia="Arial" w:hAnsi="Arial"/>
                <w:sz w:val="22"/>
                <w:szCs w:val="22"/>
              </w:rPr>
              <w:t xml:space="preserve">You have built a sophisticated system with 11 LangGraph nodes, Self-RAG, CRAG, multi-query, and a reranker. But you do not have a single number that tells you how good it is or whether it got better after any change. This must be fixed before adding more complexity.</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2.5  Gap 5: chain v2.1.ipynb Is Broken</w:t>
      </w:r>
    </w:p>
    <w:p>
      <w:pPr>
        <w:spacing w:before="0" w:after="160"/>
        <w:jc w:val="both"/>
      </w:pPr>
      <w:r>
        <w:rPr>
          <w:rFonts w:ascii="Arial" w:cs="Arial" w:eastAsia="Arial" w:hAnsi="Arial"/>
          <w:sz w:val="22"/>
          <w:szCs w:val="22"/>
        </w:rPr>
        <w:t xml:space="preserve">The chain v2.1.ipynb notebook has a NameError — rag_chain = query | llm | StrOutputParser() where query is not defined. The prompt was written but never connected. This is the simplest notebook in the project and it is the only one that is actually broken.</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3. The Roadmap — Sequenced Steps to Perfect RAG</w:t>
      </w:r>
    </w:p>
    <w:p>
      <w:pPr>
        <w:spacing w:before="0" w:after="160"/>
        <w:jc w:val="both"/>
      </w:pPr>
      <w:r>
        <w:rPr>
          <w:rFonts w:ascii="Arial" w:cs="Arial" w:eastAsia="Arial" w:hAnsi="Arial"/>
          <w:sz w:val="22"/>
          <w:szCs w:val="22"/>
        </w:rPr>
        <w:t xml:space="preserve">The phases below are ordered by impact per effort. Each phase builds on the previous one. Do not skip phases — Phase 1 makes Phase 2 meaningful, Phase 2 makes Phase 3 trustworthy.</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1 — Measurement First (Do This Before Anything Else)</w:t>
      </w:r>
    </w:p>
    <w:p>
      <w:pPr>
        <w:spacing w:before="0" w:after="160"/>
        <w:jc w:val="both"/>
      </w:pPr>
      <w:r>
        <w:rPr>
          <w:rFonts w:ascii="Arial" w:cs="Arial" w:eastAsia="Arial" w:hAnsi="Arial"/>
          <w:b/>
          <w:bCs/>
          <w:color w:val="DC2626"/>
          <w:sz w:val="22"/>
          <w:szCs w:val="22"/>
        </w:rPr>
        <w:t xml:space="preserve">Why this comes first: </w:t>
      </w:r>
      <w:r>
        <w:rPr>
          <w:rFonts w:ascii="Arial" w:cs="Arial" w:eastAsia="Arial" w:hAnsi="Arial"/>
          <w:sz w:val="22"/>
          <w:szCs w:val="22"/>
        </w:rPr>
        <w:t xml:space="preserve">Every subsequent decision is meaningless without a baseline. If you add GDPR to the corpus and the system gets "better," you need a number to prove it.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1.1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eu_ai_act_eval_set.ipynb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Create 50 hand-labeled (question, expected answer, required articles) triples. Cover all 6 query types from eu_ai_act_retrieval.ipynb.</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1.2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eu_ai_act_metrics.ipynb</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Implement retrieval metrics: Recall@K (did required articles appear in top K?), MRR (mean reciprocal rank of first correct result), context precision. Run against current pipeline.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1.3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Baseline numbers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Record: Recall@5, Recall@10, MRR for each query type. These are your baseline. Every future change must beat them.</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color w:val="0D9488"/>
          <w:sz w:val="22"/>
          <w:szCs w:val="22"/>
        </w:rPr>
        <w:t xml:space="preserve">What to put in the eval set: </w:t>
      </w:r>
    </w:p>
    <w:p>
      <w:pPr>
        <w:pStyle w:val="ListParagraph"/>
        <w:numPr>
          <w:ilvl w:val="0"/>
          <w:numId w:val="2"/>
        </w:numPr>
        <w:spacing w:before="60" w:after="60"/>
      </w:pPr>
      <w:r>
        <w:rPr>
          <w:rFonts w:ascii="Arial" w:cs="Arial" w:eastAsia="Arial" w:hAnsi="Arial"/>
          <w:sz w:val="22"/>
          <w:szCs w:val="22"/>
        </w:rPr>
        <w:t xml:space="preserve">10 definitional queries: "What is a high-risk AI system?" — expected: Article 3 + Annex III</w:t>
      </w:r>
    </w:p>
    <w:p>
      <w:pPr>
        <w:pStyle w:val="ListParagraph"/>
        <w:numPr>
          <w:ilvl w:val="0"/>
          <w:numId w:val="2"/>
        </w:numPr>
        <w:spacing w:before="60" w:after="60"/>
      </w:pPr>
      <w:r>
        <w:rPr>
          <w:rFonts w:ascii="Arial" w:cs="Arial" w:eastAsia="Arial" w:hAnsi="Arial"/>
          <w:sz w:val="22"/>
          <w:szCs w:val="22"/>
        </w:rPr>
        <w:t xml:space="preserve">10 obligation queries: "What must a provider do about data governance?" — expected: Article 10 + Recitals 38, 39</w:t>
      </w:r>
    </w:p>
    <w:p>
      <w:pPr>
        <w:pStyle w:val="ListParagraph"/>
        <w:numPr>
          <w:ilvl w:val="0"/>
          <w:numId w:val="2"/>
        </w:numPr>
        <w:spacing w:before="60" w:after="60"/>
      </w:pPr>
      <w:r>
        <w:rPr>
          <w:rFonts w:ascii="Arial" w:cs="Arial" w:eastAsia="Arial" w:hAnsi="Arial"/>
          <w:sz w:val="22"/>
          <w:szCs w:val="22"/>
        </w:rPr>
        <w:t xml:space="preserve">10 classification queries: "Is my facial recognition system high-risk?" — expected: Article 6 + Annex III</w:t>
      </w:r>
    </w:p>
    <w:p>
      <w:pPr>
        <w:pStyle w:val="ListParagraph"/>
        <w:numPr>
          <w:ilvl w:val="0"/>
          <w:numId w:val="2"/>
        </w:numPr>
        <w:spacing w:before="60" w:after="60"/>
      </w:pPr>
      <w:r>
        <w:rPr>
          <w:rFonts w:ascii="Arial" w:cs="Arial" w:eastAsia="Arial" w:hAnsi="Arial"/>
          <w:sz w:val="22"/>
          <w:szCs w:val="22"/>
        </w:rPr>
        <w:t xml:space="preserve">10 cross-cutting queries: "Can I train a GPAI model on copyrighted data?" — expected: Article 53 + Copyright Directive</w:t>
      </w:r>
    </w:p>
    <w:p>
      <w:pPr>
        <w:pStyle w:val="ListParagraph"/>
        <w:numPr>
          <w:ilvl w:val="0"/>
          <w:numId w:val="2"/>
        </w:numPr>
        <w:spacing w:before="60" w:after="60"/>
      </w:pPr>
      <w:r>
        <w:rPr>
          <w:rFonts w:ascii="Arial" w:cs="Arial" w:eastAsia="Arial" w:hAnsi="Arial"/>
          <w:sz w:val="22"/>
          <w:szCs w:val="22"/>
        </w:rPr>
        <w:t xml:space="preserve">5 penalty queries: "What fines apply for Article 5 violations?" — expected: Article 99 + specific amounts</w:t>
      </w:r>
    </w:p>
    <w:p>
      <w:pPr>
        <w:pStyle w:val="ListParagraph"/>
        <w:numPr>
          <w:ilvl w:val="0"/>
          <w:numId w:val="2"/>
        </w:numPr>
        <w:spacing w:before="60" w:after="60"/>
      </w:pPr>
      <w:r>
        <w:rPr>
          <w:rFonts w:ascii="Arial" w:cs="Arial" w:eastAsia="Arial" w:hAnsi="Arial"/>
          <w:sz w:val="22"/>
          <w:szCs w:val="22"/>
        </w:rPr>
        <w:t xml:space="preserve">5 procedural queries: "How do I register a high-risk AI system?" — expected: Article 49 + 71</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2 — Fix chain v2.1.ipynb and Wire the LLM Map Into Retrieval</w:t>
      </w:r>
    </w:p>
    <w:p>
      <w:pPr>
        <w:spacing w:before="0" w:after="160"/>
        <w:jc w:val="both"/>
      </w:pPr>
      <w:r>
        <w:rPr>
          <w:rFonts w:ascii="Arial" w:cs="Arial" w:eastAsia="Arial" w:hAnsi="Arial"/>
          <w:sz w:val="22"/>
          <w:szCs w:val="22"/>
        </w:rPr>
        <w:t xml:space="preserve">Two quick wins that require minimal new work but significantly improve retrieval quality.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2.1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Fix chain v2.1.ipynb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Complete the rag_chain. The prompt for query routing is already written. Wire it: prompt | llm | StrOutputParser() → parse → route to retriever. This closes the broken notebook.</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2.2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eu_ai_act_graph_retrieval.ipynb</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Modify the retriever node in eu_ai_act_agent.ipynb. After embedding retrieval, for each Article node returned, immediately look up its recitals from article_recital_map_llm.json. This is deterministic, O(1), guaranteed correct.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2.3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Graph-first for known article queries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When query_analyzer identifies explicit_articles (e.g. "Article 16"), skip embedding search entirely for that article — fetch it directly by article_num from all_chunks. Use embedding only for ambiguous parts.</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2.4</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Re-run eval set from Phase 1</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Measure: did Recall@5 improve? If yes, graph-first retrieval is validated. If not, check why — probably the query_analyzer is not extracting article numbers reliably.</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3 — Build the Definition and Obligation Graph (In Python, No Neo4j Yet)</w:t>
      </w:r>
    </w:p>
    <w:p>
      <w:pPr>
        <w:spacing w:before="0" w:after="160"/>
        <w:jc w:val="both"/>
      </w:pPr>
      <w:r>
        <w:rPr>
          <w:rFonts w:ascii="Arial" w:cs="Arial" w:eastAsia="Arial" w:hAnsi="Arial"/>
          <w:sz w:val="22"/>
          <w:szCs w:val="22"/>
        </w:rPr>
        <w:t xml:space="preserve">Before adding a graph database, build the semantic layers in Python dicts first. Validate them with LLM and eval set. This is the same approach used for the recital map.</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3.1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eu_ai_act_definition_map.ipynb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For each of Article 3's 65+ definitions, use LLM to find which other articles USE that definition. Same pattern as llm_article_recital_map.ipynb. Output: definition_map.json — definition_term → [article_nums].</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3.2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eu_ai_act_obligation_graph.ipynb</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Extract named obligations from Articles 9-16 and 26. For each: obligation_name, article_source, applies_to (Provider/Deployer/Importer). Extract penalty ranges from Article 99 and 101. Output: obligations.json, penalties.json.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3.3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Integrate into retriever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Add definition lookup to retriever: if query mentions "provider" → auto-inject Article 3(3) definition. If query asks about fines → inject Article 99 penalty structure.</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3.4</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Re-run eval set</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Measure: particularly check definition queries and penalty queries. These should show the biggest improvement.</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4 — External Corpus: Ingest Critical Referenced Documents</w:t>
      </w:r>
    </w:p>
    <w:p>
      <w:pPr>
        <w:spacing w:before="0" w:after="160"/>
        <w:jc w:val="both"/>
      </w:pPr>
      <w:r>
        <w:rPr>
          <w:rFonts w:ascii="Arial" w:cs="Arial" w:eastAsia="Arial" w:hAnsi="Arial"/>
          <w:sz w:val="22"/>
          <w:szCs w:val="22"/>
        </w:rPr>
        <w:t xml:space="preserve">Using the SPARQL discovery results, ingest the 3 critical and 4 important documents. Each adds specific answerable questions that currently fail.</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4.1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eu_ai_act_external_corpus.ipynb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Use the Cellar URIs from SPARQL to fetch HTML of 7 priority documents. For each: use structure-aware chunking (same approach as Chunking v2.ipynb). Add doc_id namespace to all nodes.</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4.2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Cross-document stub resolution</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Update all_chunks.json with resolved stubs. For each chunk in EU AI Act that references GDPR/MedDev/etc., add resolved=True and the text snippet. These become cross-document REFERENCES edges.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4.3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Extend ChromaDB collection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Embed and add all external chunks to the same ChromaDB collection. Use metadata filter content_type + doc_id to query per-document if needed.</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4.4</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Priority order for ingestion</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1st: GDPR (most referenced, Art 10 depends on it). 2nd: Copyright Directive (GPAI training data). 3rd: LED (law enforcement biometrics). 4th: Medical Devices + IVD + Market Surveillance + NLF.</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CCCCCC" w:sz="1"/>
              <w:right w:val="single" w:color="CCCCCC" w:sz="1"/>
            </w:tcBorders>
            <w:shd w:fill="EFF6FF" w:val="clear"/>
            <w:tcMar>
              <w:top w:type="dxa" w:w="120"/>
              <w:left w:type="dxa" w:w="200"/>
              <w:bottom w:type="dxa" w:w="120"/>
              <w:right w:type="dxa" w:w="200"/>
            </w:tcMar>
          </w:tcPr>
          <w:p>
            <w:pPr>
              <w:spacing w:before="0" w:after="80"/>
            </w:pPr>
            <w:r>
              <w:rPr>
                <w:rFonts w:ascii="Arial" w:cs="Arial" w:eastAsia="Arial" w:hAnsi="Arial"/>
                <w:b/>
                <w:bCs/>
                <w:color w:val="2563EB"/>
                <w:sz w:val="22"/>
                <w:szCs w:val="22"/>
              </w:rPr>
              <w:t xml:space="preserve">NOTE</w:t>
            </w:r>
          </w:p>
          <w:p>
            <w:pPr>
              <w:spacing w:before="0" w:after="0"/>
            </w:pPr>
            <w:r>
              <w:rPr>
                <w:rFonts w:ascii="Arial" w:cs="Arial" w:eastAsia="Arial" w:hAnsi="Arial"/>
                <w:sz w:val="22"/>
                <w:szCs w:val="22"/>
              </w:rPr>
              <w:t xml:space="preserve">Do NOT ingest all 40 cited documents. The 27 "reference" documents (banking directives, comitology procedures, inter-institutional agreements) are cited procedurally in the EU AI Act and will not help answer any practitioner question. Focus only on the 7 substantively relevant documents.</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5 — Graph Database: Migrate to Neo4j</w:t>
      </w:r>
    </w:p>
    <w:p>
      <w:pPr>
        <w:spacing w:before="0" w:after="160"/>
        <w:jc w:val="both"/>
      </w:pPr>
      <w:r>
        <w:rPr>
          <w:rFonts w:ascii="Arial" w:cs="Arial" w:eastAsia="Arial" w:hAnsi="Arial"/>
          <w:sz w:val="22"/>
          <w:szCs w:val="22"/>
        </w:rPr>
        <w:t xml:space="preserve">Once all the JSON-based graph data is stable and validated, load it into Neo4j. This is not about adding new knowledge — it is about making existing knowledge queryable in O(1) instead of O(n) and enabling Cypher traversal patterns that are impossible with JSON.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5.1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eu_ai_act_neo4j_builder.ipynb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Load all_chunks.json → nodes. Load article_recital_map_llm.json → PROVIDES_RATIONALE_FOR edges. Load referenced_articles metadata → REFERENCES edges. Load definition_map.json → USES_DEFINITION_OF edges. Load obligations.json → REQUIRES/HAS_PENALTY edges.</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5.2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Cypher retrieval layer</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Replace the Python dict lookups with Cypher queries. Example: MATCH (a:Article {num:16})-[e:PROVIDES_RATIONALE_FOR]-(r:Recital) RETURN r, e.reason. This is identical semantics, faster execution, better tooling.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5.3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Neo4j Bloom exploration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Use Neo4j's visual interface to explore the graph. This is where you will discover unexpected connections — articles that share many recitals, cross-cluster references, isolated nodes.</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5.4</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Graph traversal node in agent</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Add a graph_traversal node to eu_ai_act_agent.ipynb. After query_analyzer, before embedding retrieval: traverse the graph for all known relationships, return structured subgraph. Then embedding search within the subgraph only.</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6 — Advanced Retrieval Improvements</w:t>
      </w:r>
    </w:p>
    <w:p>
      <w:pPr>
        <w:spacing w:before="0" w:after="160"/>
        <w:jc w:val="both"/>
      </w:pPr>
      <w:r>
        <w:rPr>
          <w:rFonts w:ascii="Arial" w:cs="Arial" w:eastAsia="Arial" w:hAnsi="Arial"/>
          <w:sz w:val="22"/>
          <w:szCs w:val="22"/>
        </w:rPr>
        <w:t xml:space="preserve">With the graph in place and evaluation running, these are the algorithmic improvements with the most measured impact: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6.1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HyDE for legal queries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Instead of embedding the user query, ask the LLM to write a hypothetical EU AI Act article paragraph that would answer the query. Embed that. This closes the rationale↔obligation language gap that causes 85% embedding recall failure.</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6.2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Cross-encoder reranker</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Replace the current keyword-score reranker with a real cross-encoder. The current reranker in eu_ai_act_agent.ipynb uses keyword heuristics. A cross-encoder (ms-marco-MiniLM) reads (query, chunk) pairs together — much stronger signal.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6.3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Personalised PageRank retrieval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Implement HippoRAG-style PPR on the Neo4j graph. Seed with query entities, propagate through REFERENCES and PROVIDES_RATIONALE_FOR edges. High-PPR nodes are structurally important for the query — not just semantically similar.</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6.4</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Community summaries</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Run Leiden community detection on the Neo4j graph. Generate LLM summaries for each community. Use for "what are the main themes of the EU AI Act?" type global queries that no individual chunk can answer.</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Phase 7 — Multimodal: Tables and Images</w:t>
      </w:r>
    </w:p>
    <w:p>
      <w:pPr>
        <w:spacing w:before="0" w:after="160"/>
        <w:jc w:val="both"/>
      </w:pPr>
      <w:r>
        <w:rPr>
          <w:rFonts w:ascii="Arial" w:cs="Arial" w:eastAsia="Arial" w:hAnsi="Arial"/>
          <w:sz w:val="22"/>
          <w:szCs w:val="22"/>
        </w:rPr>
        <w:t xml:space="preserve">The EU AI Act has structured tables in its Annexes (Annex III high-risk categories, Annex IV documentation requirements, Annex VII conformity assessment procedures) that are currently stored as raw text. This degrades retrieval quality for classification and documentation queries.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420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Notebook / Task</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What It Adds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7.1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eu_ai_act_table_extraction.ipynb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Re-process Annexes I–IX using pdfplumber for tables. Convert each table to structured JSON preserving row/column relationships. Create TableChunk nodes with structured_text property for embedding.</w:t>
            </w:r>
          </w:p>
        </w:tc>
      </w:tr>
      <w:tr>
        <w:tc>
          <w:tcPr>
            <w:tcW w:type="dxa" w:w="9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7.2</w:t>
            </w:r>
          </w:p>
        </w:tc>
        <w:tc>
          <w:tcPr>
            <w:tcW w:type="dxa" w:w="42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VLM descriptions for Annexes</w:t>
            </w:r>
          </w:p>
        </w:tc>
        <w:tc>
          <w:tcPr>
            <w:tcW w:type="dxa" w:w="42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For any Annex page where pdfplumber extraction is imperfect, render the PDF page as image and pass to Claude vision to extract as clean JSON. This handles merged cells and multi-level headers.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0D9488"/>
                <w:sz w:val="22"/>
                <w:szCs w:val="22"/>
              </w:rPr>
              <w:t xml:space="preserve">7.3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CONTAINS_TABLE edges in graph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Connect each TableChunk to its parent Article/Annex node. When Article 43 is retrieved, automatically include its conformity assessment flowchart table in context.</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4. SPARQL Integration Plan — What To Actually Do With the 40 Documents</w:t>
      </w:r>
    </w:p>
    <w:p>
      <w:pPr>
        <w:spacing w:before="0" w:after="160"/>
        <w:jc w:val="both"/>
      </w:pPr>
      <w:r>
        <w:rPr>
          <w:rFonts w:ascii="Arial" w:cs="Arial" w:eastAsia="Arial" w:hAnsi="Arial"/>
          <w:sz w:val="22"/>
          <w:szCs w:val="22"/>
        </w:rPr>
        <w:t xml:space="preserve">The SPARQL discovery was a research exercise. Here is the concrete engineering plan for using it.</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4.1  Priority Classification of the 40 Documents</w:t>
      </w:r>
    </w:p>
    <w:p>
      <w:pPr>
        <w:spacing w:before="0" w:after="160"/>
        <w:jc w:val="both"/>
      </w:pPr>
      <w:r>
        <w:rPr>
          <w:rFonts w:ascii="Arial" w:cs="Arial" w:eastAsia="Arial" w:hAnsi="Arial"/>
          <w:b/>
          <w:bCs/>
          <w:color w:val="DC2626"/>
          <w:sz w:val="22"/>
          <w:szCs w:val="22"/>
        </w:rPr>
        <w:t xml:space="preserve">🔴 Ingest immediately (Phase 4.1):</w:t>
      </w:r>
    </w:p>
    <w:p>
      <w:pPr>
        <w:pStyle w:val="ListParagraph"/>
        <w:numPr>
          <w:ilvl w:val="0"/>
          <w:numId w:val="2"/>
        </w:numPr>
        <w:spacing w:before="60" w:after="60"/>
      </w:pPr>
      <w:r>
        <w:rPr>
          <w:rFonts w:ascii="Arial" w:cs="Arial" w:eastAsia="Arial" w:hAnsi="Arial"/>
          <w:sz w:val="22"/>
          <w:szCs w:val="22"/>
        </w:rPr>
        <w:t xml:space="preserve">32016R0679 — GDPR. Every Article 10 (data), Article 22 (transparency), Article 5 (prohibited biometrics) query needs it.</w:t>
      </w:r>
    </w:p>
    <w:p>
      <w:pPr>
        <w:pStyle w:val="ListParagraph"/>
        <w:numPr>
          <w:ilvl w:val="0"/>
          <w:numId w:val="2"/>
        </w:numPr>
        <w:spacing w:before="60" w:after="60"/>
      </w:pPr>
      <w:r>
        <w:rPr>
          <w:rFonts w:ascii="Arial" w:cs="Arial" w:eastAsia="Arial" w:hAnsi="Arial"/>
          <w:sz w:val="22"/>
          <w:szCs w:val="22"/>
        </w:rPr>
        <w:t xml:space="preserve">32016L0680 — Law Enforcement Directive. Article 5 prohibited AI in law enforcement context. Without this, law enforcement biometric questions are incomplete.</w:t>
      </w:r>
    </w:p>
    <w:p>
      <w:pPr>
        <w:pStyle w:val="ListParagraph"/>
        <w:numPr>
          <w:ilvl w:val="0"/>
          <w:numId w:val="2"/>
        </w:numPr>
        <w:spacing w:before="60" w:after="60"/>
      </w:pPr>
      <w:r>
        <w:rPr>
          <w:rFonts w:ascii="Arial" w:cs="Arial" w:eastAsia="Arial" w:hAnsi="Arial"/>
          <w:sz w:val="22"/>
          <w:szCs w:val="22"/>
        </w:rPr>
        <w:t xml:space="preserve">32019L0790 — Copyright Directive. Article 53 GPAI training data. The text-and-data-mining exception (Art 3-4 of Copyright Directive) is literally what determines if GPAI training is legal.</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color w:val="D97706"/>
          <w:sz w:val="22"/>
          <w:szCs w:val="22"/>
        </w:rPr>
        <w:t xml:space="preserve">🟠 Ingest in Phase 4.4:</w:t>
      </w:r>
    </w:p>
    <w:p>
      <w:pPr>
        <w:pStyle w:val="ListParagraph"/>
        <w:numPr>
          <w:ilvl w:val="0"/>
          <w:numId w:val="2"/>
        </w:numPr>
        <w:spacing w:before="60" w:after="60"/>
      </w:pPr>
      <w:r>
        <w:rPr>
          <w:rFonts w:ascii="Arial" w:cs="Arial" w:eastAsia="Arial" w:hAnsi="Arial"/>
          <w:sz w:val="22"/>
          <w:szCs w:val="22"/>
        </w:rPr>
        <w:t xml:space="preserve">32017R0745 — Medical Devices. Annex I Section A point 1 — the specific provision that classifies medical AI as high-risk.</w:t>
      </w:r>
    </w:p>
    <w:p>
      <w:pPr>
        <w:pStyle w:val="ListParagraph"/>
        <w:numPr>
          <w:ilvl w:val="0"/>
          <w:numId w:val="2"/>
        </w:numPr>
        <w:spacing w:before="60" w:after="60"/>
      </w:pPr>
      <w:r>
        <w:rPr>
          <w:rFonts w:ascii="Arial" w:cs="Arial" w:eastAsia="Arial" w:hAnsi="Arial"/>
          <w:sz w:val="22"/>
          <w:szCs w:val="22"/>
        </w:rPr>
        <w:t xml:space="preserve">32017R0746 — IVD Regulation. Annex I Section A point 2 — in-vitro diagnostic AI systems.</w:t>
      </w:r>
    </w:p>
    <w:p>
      <w:pPr>
        <w:pStyle w:val="ListParagraph"/>
        <w:numPr>
          <w:ilvl w:val="0"/>
          <w:numId w:val="2"/>
        </w:numPr>
        <w:spacing w:before="60" w:after="60"/>
      </w:pPr>
      <w:r>
        <w:rPr>
          <w:rFonts w:ascii="Arial" w:cs="Arial" w:eastAsia="Arial" w:hAnsi="Arial"/>
          <w:sz w:val="22"/>
          <w:szCs w:val="22"/>
        </w:rPr>
        <w:t xml:space="preserve">32019R1020 — Market Surveillance Regulation. The enforcement framework that Article 9 (conformity) builds on.</w:t>
      </w:r>
    </w:p>
    <w:p>
      <w:pPr>
        <w:pStyle w:val="ListParagraph"/>
        <w:numPr>
          <w:ilvl w:val="0"/>
          <w:numId w:val="2"/>
        </w:numPr>
        <w:spacing w:before="60" w:after="60"/>
      </w:pPr>
      <w:r>
        <w:rPr>
          <w:rFonts w:ascii="Arial" w:cs="Arial" w:eastAsia="Arial" w:hAnsi="Arial"/>
          <w:sz w:val="22"/>
          <w:szCs w:val="22"/>
        </w:rPr>
        <w:t xml:space="preserve">32008R0765 — NLF Accreditation Regulation. The notified body framework. Without this, conformity assessment questions are incomplete.</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color w:val="6B7280"/>
          <w:sz w:val="22"/>
          <w:szCs w:val="22"/>
        </w:rPr>
        <w:t xml:space="preserve">⚪ Do NOT ingest (cite only):</w:t>
      </w:r>
    </w:p>
    <w:p>
      <w:pPr>
        <w:pStyle w:val="ListParagraph"/>
        <w:numPr>
          <w:ilvl w:val="0"/>
          <w:numId w:val="2"/>
        </w:numPr>
        <w:spacing w:before="60" w:after="60"/>
      </w:pPr>
      <w:r>
        <w:rPr>
          <w:rFonts w:ascii="Arial" w:cs="Arial" w:eastAsia="Arial" w:hAnsi="Arial"/>
          <w:sz w:val="22"/>
          <w:szCs w:val="22"/>
        </w:rPr>
        <w:t xml:space="preserve">32013L0036 (CRD IV), 32013R0575 (CRR), 32013R1024 (SSM) — banking sector cited only because EU AI Act applies to credit institutions using AI for credit scoring. The banking rules themselves are not needed for EU AI Act questions.</w:t>
      </w:r>
    </w:p>
    <w:p>
      <w:pPr>
        <w:pStyle w:val="ListParagraph"/>
        <w:numPr>
          <w:ilvl w:val="0"/>
          <w:numId w:val="2"/>
        </w:numPr>
        <w:spacing w:before="60" w:after="60"/>
      </w:pPr>
      <w:r>
        <w:rPr>
          <w:rFonts w:ascii="Arial" w:cs="Arial" w:eastAsia="Arial" w:hAnsi="Arial"/>
          <w:sz w:val="22"/>
          <w:szCs w:val="22"/>
        </w:rPr>
        <w:t xml:space="preserve">32011R0182 (Comitology), 32016Q0512 (IIA on Better Law-Making) — cited for the delegated acts procedure in Article 97. Purely procedural, not substantively relevant.</w:t>
      </w:r>
    </w:p>
    <w:p>
      <w:pPr>
        <w:pStyle w:val="ListParagraph"/>
        <w:numPr>
          <w:ilvl w:val="0"/>
          <w:numId w:val="2"/>
        </w:numPr>
        <w:spacing w:before="60" w:after="60"/>
      </w:pPr>
      <w:r>
        <w:rPr>
          <w:rFonts w:ascii="Arial" w:cs="Arial" w:eastAsia="Arial" w:hAnsi="Arial"/>
          <w:sz w:val="22"/>
          <w:szCs w:val="22"/>
        </w:rPr>
        <w:t xml:space="preserve">31985L0374 (Product Liability Directive 1985) — cited in Recital 9 for completeness of existing remedies. Not needed for AI Act compliance questions.</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4.2  The Cellar URI for Each Priority Document</w:t>
      </w:r>
    </w:p>
    <w:p>
      <w:pPr>
        <w:spacing w:before="0" w:after="160"/>
        <w:jc w:val="both"/>
      </w:pPr>
      <w:r>
        <w:rPr>
          <w:rFonts w:ascii="Arial" w:cs="Arial" w:eastAsia="Arial" w:hAnsi="Arial"/>
          <w:sz w:val="22"/>
          <w:szCs w:val="22"/>
        </w:rPr>
        <w:t xml:space="preserve">You already have these from your SPARQL result. Use them directly in the fetching pipeline: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Component</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Status</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GDPR (32016R0679)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3e485e15-11bd-11e6-ba9a-01aa75ed71a1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Fetch: .../DOC_1 URL pattern. ~100 pages HTML.</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LED (32016L0680)</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182703d1-11bd-11e6-ba9a-01aa75ed71a1</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Fetch same pattern. ~40 pages.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Copyright Dir (32019L0790)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214471fe-786e-11e9-9f05-01aa75ed71a1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Focus: Articles 3 and 4 (TDM exceptions). ~60 pages total.</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Medical Devices (32017R0745)</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83bdc18f-315d-11e7-9412-01aa75ed71a1</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Focus: Annex I — the high-risk classification criteria.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IVD Reg (32017R0746)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a536c970-315d-11e7-9412-01aa75ed71a1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Focus: Annex I for IVD high-risk classification.</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Market Surveillance (32019R1020)</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903d90ee-9712-11e9-9369-01aa75ed71a1</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Focus: Chapter III enforcement and conformity.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NLF (32008R0765)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Cellar: fdd70f57-7032-4121-92ae-ccf8ef68c15b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Focus: CE marking provisions and notified bodies.</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5. The Target Architecture — What Perfect Looks Like</w:t>
      </w:r>
    </w:p>
    <w:p>
      <w:pPr>
        <w:spacing w:before="0" w:after="160"/>
        <w:jc w:val="both"/>
      </w:pPr>
      <w:r>
        <w:rPr>
          <w:rFonts w:ascii="Arial" w:cs="Arial" w:eastAsia="Arial" w:hAnsi="Arial"/>
          <w:sz w:val="22"/>
          <w:szCs w:val="22"/>
        </w:rPr>
        <w:t xml:space="preserve">When all 7 phases are complete, the system answers a query through this flow:</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5.1  The Query Flow</w:t>
      </w:r>
    </w:p>
    <w:p>
      <w:pPr>
        <w:spacing w:before="0" w:after="160"/>
        <w:jc w:val="both"/>
      </w:pPr>
      <w:r>
        <w:rPr>
          <w:rFonts w:ascii="Arial" w:cs="Arial" w:eastAsia="Arial" w:hAnsi="Arial"/>
          <w:b/>
          <w:bCs/>
          <w:color w:val="0D9488"/>
          <w:sz w:val="22"/>
          <w:szCs w:val="22"/>
        </w:rPr>
        <w:t xml:space="preserve">User asks: </w:t>
      </w:r>
      <w:r>
        <w:rPr>
          <w:rFonts w:ascii="Arial" w:cs="Arial" w:eastAsia="Arial" w:hAnsi="Arial"/>
          <w:i/>
          <w:iCs/>
          <w:color w:val="6B7280"/>
          <w:sz w:val="22"/>
          <w:szCs w:val="22"/>
        </w:rPr>
        <w:t xml:space="preserve">"I am deploying a facial recognition system for employee time tracking. What are my obligations under EU AI Act, what data protection rules apply, and what are the fines if I violate them?"</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Step 1 — Query Understanding (query_analyzer node):</w:t>
      </w:r>
    </w:p>
    <w:p>
      <w:pPr>
        <w:pStyle w:val="ListParagraph"/>
        <w:numPr>
          <w:ilvl w:val="0"/>
          <w:numId w:val="2"/>
        </w:numPr>
        <w:spacing w:before="60" w:after="60"/>
      </w:pPr>
      <w:r>
        <w:rPr>
          <w:rFonts w:ascii="Arial" w:cs="Arial" w:eastAsia="Arial" w:hAnsi="Arial"/>
          <w:sz w:val="22"/>
          <w:szCs w:val="22"/>
        </w:rPr>
        <w:t xml:space="preserve">Entities: facial recognition, employee, time tracking, deployer, obligations, data protection, fines</w:t>
      </w:r>
    </w:p>
    <w:p>
      <w:pPr>
        <w:pStyle w:val="ListParagraph"/>
        <w:numPr>
          <w:ilvl w:val="0"/>
          <w:numId w:val="2"/>
        </w:numPr>
        <w:spacing w:before="60" w:after="60"/>
      </w:pPr>
      <w:r>
        <w:rPr>
          <w:rFonts w:ascii="Arial" w:cs="Arial" w:eastAsia="Arial" w:hAnsi="Arial"/>
          <w:sz w:val="22"/>
          <w:szCs w:val="22"/>
        </w:rPr>
        <w:t xml:space="preserve">Classification: HIGH_RISK (biometric, employment Annex III cat 4), requires_external: [GDPR]</w:t>
      </w:r>
    </w:p>
    <w:p>
      <w:pPr>
        <w:pStyle w:val="ListParagraph"/>
        <w:numPr>
          <w:ilvl w:val="0"/>
          <w:numId w:val="2"/>
        </w:numPr>
        <w:spacing w:before="60" w:after="60"/>
      </w:pPr>
      <w:r>
        <w:rPr>
          <w:rFonts w:ascii="Arial" w:cs="Arial" w:eastAsia="Arial" w:hAnsi="Arial"/>
          <w:sz w:val="22"/>
          <w:szCs w:val="22"/>
        </w:rPr>
        <w:t xml:space="preserve">Explicit articles: Annex III, Article 26 (deployer), Article 99 (fines)</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Step 2 — Graph Traversal (deterministic, O(1)):</w:t>
      </w:r>
    </w:p>
    <w:p>
      <w:pPr>
        <w:pStyle w:val="ListParagraph"/>
        <w:numPr>
          <w:ilvl w:val="0"/>
          <w:numId w:val="2"/>
        </w:numPr>
        <w:spacing w:before="60" w:after="60"/>
      </w:pPr>
      <w:r>
        <w:rPr>
          <w:rFonts w:ascii="Arial" w:cs="Arial" w:eastAsia="Arial" w:hAnsi="Arial"/>
          <w:sz w:val="22"/>
          <w:szCs w:val="22"/>
        </w:rPr>
        <w:t xml:space="preserve">Annex III cat 1 (biometrics) → Article 6 (classification) → REFERENCES chain → Articles 9-15 (requirements)</w:t>
      </w:r>
    </w:p>
    <w:p>
      <w:pPr>
        <w:pStyle w:val="ListParagraph"/>
        <w:numPr>
          <w:ilvl w:val="0"/>
          <w:numId w:val="2"/>
        </w:numPr>
        <w:spacing w:before="60" w:after="60"/>
      </w:pPr>
      <w:r>
        <w:rPr>
          <w:rFonts w:ascii="Arial" w:cs="Arial" w:eastAsia="Arial" w:hAnsi="Arial"/>
          <w:sz w:val="22"/>
          <w:szCs w:val="22"/>
        </w:rPr>
        <w:t xml:space="preserve">Article 26 (deployer obligations) → its 9 recitals from LLM map → Recitals 72, 91, 93, 96, 158</w:t>
      </w:r>
    </w:p>
    <w:p>
      <w:pPr>
        <w:pStyle w:val="ListParagraph"/>
        <w:numPr>
          <w:ilvl w:val="0"/>
          <w:numId w:val="2"/>
        </w:numPr>
        <w:spacing w:before="60" w:after="60"/>
      </w:pPr>
      <w:r>
        <w:rPr>
          <w:rFonts w:ascii="Arial" w:cs="Arial" w:eastAsia="Arial" w:hAnsi="Arial"/>
          <w:sz w:val="22"/>
          <w:szCs w:val="22"/>
        </w:rPr>
        <w:t xml:space="preserve">Article 26 → REQUIRES → [DeployerObligation nodes]</w:t>
      </w:r>
    </w:p>
    <w:p>
      <w:pPr>
        <w:pStyle w:val="ListParagraph"/>
        <w:numPr>
          <w:ilvl w:val="0"/>
          <w:numId w:val="2"/>
        </w:numPr>
        <w:spacing w:before="60" w:after="60"/>
      </w:pPr>
      <w:r>
        <w:rPr>
          <w:rFonts w:ascii="Arial" w:cs="Arial" w:eastAsia="Arial" w:hAnsi="Arial"/>
          <w:sz w:val="22"/>
          <w:szCs w:val="22"/>
        </w:rPr>
        <w:t xml:space="preserve">Article 99 → HAS_PENALTY → {30M/6% for Art 5 violations, 20M/4% for high-risk violations}</w:t>
      </w:r>
    </w:p>
    <w:p>
      <w:pPr>
        <w:pStyle w:val="ListParagraph"/>
        <w:numPr>
          <w:ilvl w:val="0"/>
          <w:numId w:val="2"/>
        </w:numPr>
        <w:spacing w:before="60" w:after="60"/>
      </w:pPr>
      <w:r>
        <w:rPr>
          <w:rFonts w:ascii="Arial" w:cs="Arial" w:eastAsia="Arial" w:hAnsi="Arial"/>
          <w:sz w:val="22"/>
          <w:szCs w:val="22"/>
        </w:rPr>
        <w:t xml:space="preserve">Employment → USES_DEFINITION_OF → Annex III Category 4 examples</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Step 3 — External Document Fetch:</w:t>
      </w:r>
    </w:p>
    <w:p>
      <w:pPr>
        <w:pStyle w:val="ListParagraph"/>
        <w:numPr>
          <w:ilvl w:val="0"/>
          <w:numId w:val="2"/>
        </w:numPr>
        <w:spacing w:before="60" w:after="60"/>
      </w:pPr>
      <w:r>
        <w:rPr>
          <w:rFonts w:ascii="Arial" w:cs="Arial" w:eastAsia="Arial" w:hAnsi="Arial"/>
          <w:sz w:val="22"/>
          <w:szCs w:val="22"/>
        </w:rPr>
        <w:t xml:space="preserve">Query requires GDPR → graph has GDPR::Art::9 node (resolved from Cellar) → inject: special categories, employee data, legitimate interest grounds</w:t>
      </w:r>
    </w:p>
    <w:p>
      <w:pPr>
        <w:pStyle w:val="ListParagraph"/>
        <w:numPr>
          <w:ilvl w:val="0"/>
          <w:numId w:val="2"/>
        </w:numPr>
        <w:spacing w:before="60" w:after="60"/>
      </w:pPr>
      <w:r>
        <w:rPr>
          <w:rFonts w:ascii="Arial" w:cs="Arial" w:eastAsia="Arial" w:hAnsi="Arial"/>
          <w:sz w:val="22"/>
          <w:szCs w:val="22"/>
        </w:rPr>
        <w:t xml:space="preserve">Query requires GDPR Art 22 → automated decision-making rules for biometric access control</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Step 4 — Embedding Search Within Subgraph:</w:t>
      </w:r>
    </w:p>
    <w:p>
      <w:pPr>
        <w:pStyle w:val="ListParagraph"/>
        <w:numPr>
          <w:ilvl w:val="0"/>
          <w:numId w:val="2"/>
        </w:numPr>
        <w:spacing w:before="60" w:after="60"/>
      </w:pPr>
      <w:r>
        <w:rPr>
          <w:rFonts w:ascii="Arial" w:cs="Arial" w:eastAsia="Arial" w:hAnsi="Arial"/>
          <w:sz w:val="22"/>
          <w:szCs w:val="22"/>
        </w:rPr>
        <w:t xml:space="preserve">12 nodes retrieved via graph traversal → embed query → rank within 12 nodes → take top 6</w:t>
      </w:r>
    </w:p>
    <w:p>
      <w:pPr>
        <w:pStyle w:val="ListParagraph"/>
        <w:numPr>
          <w:ilvl w:val="0"/>
          <w:numId w:val="2"/>
        </w:numPr>
        <w:spacing w:before="60" w:after="60"/>
      </w:pPr>
      <w:r>
        <w:rPr>
          <w:rFonts w:ascii="Arial" w:cs="Arial" w:eastAsia="Arial" w:hAnsi="Arial"/>
          <w:sz w:val="22"/>
          <w:szCs w:val="22"/>
        </w:rPr>
        <w:t xml:space="preserve">This is 6 documents, not 452. Precision is high because the search space is pre-narrowed by structure.</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Step 5 — Generation with Structured Context:</w:t>
      </w:r>
    </w:p>
    <w:p>
      <w:pPr>
        <w:pStyle w:val="ListParagraph"/>
        <w:numPr>
          <w:ilvl w:val="0"/>
          <w:numId w:val="2"/>
        </w:numPr>
        <w:spacing w:before="60" w:after="60"/>
      </w:pPr>
      <w:r>
        <w:rPr>
          <w:rFonts w:ascii="Arial" w:cs="Arial" w:eastAsia="Arial" w:hAnsi="Arial"/>
          <w:sz w:val="22"/>
          <w:szCs w:val="22"/>
        </w:rPr>
        <w:t xml:space="preserve">Context: Article 26 text + its 9 recitals + Art 9-15 obligation chain + GDPR Art 9 + Penalty table</w:t>
      </w:r>
    </w:p>
    <w:p>
      <w:pPr>
        <w:pStyle w:val="ListParagraph"/>
        <w:numPr>
          <w:ilvl w:val="0"/>
          <w:numId w:val="2"/>
        </w:numPr>
        <w:spacing w:before="60" w:after="60"/>
      </w:pPr>
      <w:r>
        <w:rPr>
          <w:rFonts w:ascii="Arial" w:cs="Arial" w:eastAsia="Arial" w:hAnsi="Arial"/>
          <w:sz w:val="22"/>
          <w:szCs w:val="22"/>
        </w:rPr>
        <w:t xml:space="preserve">Output: "As a deployer (Art 26), you must... For employee biometric data, GDPR Art 9 requires... Violations carry fines up to..."</w:t>
      </w:r>
    </w:p>
    <w:p>
      <w:pPr>
        <w:pStyle w:val="ListParagraph"/>
        <w:numPr>
          <w:ilvl w:val="0"/>
          <w:numId w:val="2"/>
        </w:numPr>
        <w:spacing w:before="60" w:after="60"/>
      </w:pPr>
      <w:r>
        <w:rPr>
          <w:rFonts w:ascii="Arial" w:cs="Arial" w:eastAsia="Arial" w:hAnsi="Arial"/>
          <w:sz w:val="22"/>
          <w:szCs w:val="22"/>
        </w:rPr>
        <w:t xml:space="preserve">Every claim has an article citation. The audit trail shows which graph edges led to which context.</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5.2  What This System Can Answer That the Current One Cannot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Component</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Status</w:t>
            </w:r>
          </w:p>
        </w:tc>
        <w:tc>
          <w:tcPr>
            <w:tcW w:type="auto" w:w="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"What GDPR rules apply when I process biometric data for bias detection?"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Current: Partial (no GDPR)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 Target: Full GDPR Art 9 analysis with EU AI Act Art 10(5) interplay</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"Can I train my GPAI model on scraped social media data?"</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Current: Partial (no Copyright Dir)</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 Target: Copyright Dir Art 3-4 TDM exception + Art 53 obligations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"What are all the obligations for a provider of a medical AI system?"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Current: Misses cross-refs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 Target: Art 6 + Annex III + Medical Devices Reg Annex I + Art 9-16 chain</w:t>
            </w:r>
          </w:p>
        </w:tc>
      </w:tr>
      <w:tr>
        <w:tc>
          <w:tcPr>
            <w:tcW w:type="dxa" w:w="36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"What is the definition of provider, and which articles impose obligations on providers?"</w:t>
            </w:r>
          </w:p>
        </w:tc>
        <w:tc>
          <w:tcPr>
            <w:tcW w:type="dxa" w:w="18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Current: No def graph</w:t>
            </w:r>
          </w:p>
        </w:tc>
        <w:tc>
          <w:tcPr>
            <w:tcW w:type="dxa" w:w="39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pPr>
              <w:spacing w:before="0" w:after="0"/>
            </w:pPr>
            <w:r>
              <w:rPr>
                <w:rFonts w:ascii="Arial" w:cs="Arial" w:eastAsia="Arial" w:hAnsi="Arial"/>
                <w:sz w:val="20"/>
                <w:szCs w:val="20"/>
              </w:rPr>
              <w:t xml:space="preserve">✅ Target: Art 3(3) definition + all 20+ articles using the term via USES_DEFINITION_OF edges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"What are the main themes of the EU AI 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DC2626"/>
                <w:sz w:val="22"/>
                <w:szCs w:val="22"/>
              </w:rPr>
              <w:t xml:space="preserve">❌ Current: No global view</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20"/>
                <w:szCs w:val="20"/>
              </w:rPr>
              <w:t xml:space="preserve">✅ Target: Community summaries (Phase 6.4) answer corpus-level questions</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6. Exact Next Steps — In Order</w:t>
      </w:r>
    </w:p>
    <w:p>
      <w:pPr>
        <w:spacing w:before="0" w:after="160"/>
        <w:jc w:val="both"/>
      </w:pPr>
      <w:r>
        <w:rPr>
          <w:rFonts w:ascii="Arial" w:cs="Arial" w:eastAsia="Arial" w:hAnsi="Arial"/>
          <w:sz w:val="22"/>
          <w:szCs w:val="22"/>
        </w:rPr>
        <w:t xml:space="preserve">This is the concrete sequence. Each item is actionable today. Stop after each one and run your eval set before moving to the next.</w:t>
      </w:r>
    </w:p>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This Week</w:t>
      </w:r>
    </w:p>
    <w:p>
      <w:pPr>
        <w:pStyle w:val="ListParagraph"/>
        <w:numPr>
          <w:ilvl w:val="0"/>
          <w:numId w:val="3"/>
        </w:numPr>
        <w:spacing w:before="80" w:after="80"/>
      </w:pPr>
      <w:r>
        <w:rPr>
          <w:rFonts w:ascii="Arial" w:cs="Arial" w:eastAsia="Arial" w:hAnsi="Arial"/>
          <w:sz w:val="22"/>
          <w:szCs w:val="22"/>
        </w:rPr>
        <w:t xml:space="preserve">Fix chain v2.1.ipynb — 30 minutes. Complete the rag_chain = prompt | llm | StrOutputParser() line. This closes the only broken notebook.</w:t>
      </w:r>
    </w:p>
    <w:p>
      <w:pPr>
        <w:pStyle w:val="ListParagraph"/>
        <w:numPr>
          <w:ilvl w:val="0"/>
          <w:numId w:val="3"/>
        </w:numPr>
        <w:spacing w:before="80" w:after="80"/>
      </w:pPr>
      <w:r>
        <w:rPr>
          <w:rFonts w:ascii="Arial" w:cs="Arial" w:eastAsia="Arial" w:hAnsi="Arial"/>
          <w:sz w:val="22"/>
          <w:szCs w:val="22"/>
        </w:rPr>
        <w:t xml:space="preserve">Create eu_ai_act_eval_set.ipynb — 2-3 hours. Write 50 (question, required_articles, expected_answer_fragments) triples. This is the most important investment you make in the project.</w:t>
      </w:r>
    </w:p>
    <w:p>
      <w:pPr>
        <w:pStyle w:val="ListParagraph"/>
        <w:numPr>
          <w:ilvl w:val="0"/>
          <w:numId w:val="3"/>
        </w:numPr>
        <w:spacing w:before="80" w:after="80"/>
      </w:pPr>
      <w:r>
        <w:rPr>
          <w:rFonts w:ascii="Arial" w:cs="Arial" w:eastAsia="Arial" w:hAnsi="Arial"/>
          <w:sz w:val="22"/>
          <w:szCs w:val="22"/>
        </w:rPr>
        <w:t xml:space="preserve">Create eu_ai_act_metrics.ipynb — 2 hours. Implement Recall@5, Recall@10, MRR against the eval set. Run against current eu_ai_act_agent.ipynb. Record baseline numbers.</w:t>
      </w:r>
    </w:p>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Next Week</w:t>
      </w:r>
    </w:p>
    <w:p>
      <w:pPr>
        <w:pStyle w:val="ListParagraph"/>
        <w:numPr>
          <w:ilvl w:val="0"/>
          <w:numId w:val="3"/>
        </w:numPr>
        <w:spacing w:before="80" w:after="80"/>
      </w:pPr>
      <w:r>
        <w:rPr>
          <w:rFonts w:ascii="Arial" w:cs="Arial" w:eastAsia="Arial" w:hAnsi="Arial"/>
          <w:sz w:val="22"/>
          <w:szCs w:val="22"/>
        </w:rPr>
        <w:t xml:space="preserve">Create eu_ai_act_graph_retrieval.ipynb — 3-4 hours. Wire article_recital_map_llm.json into the retrieval node. After any Article is retrieved, immediately look up and inject its LLM-verified recitals. Measure: does Recall@5 improve for obligation queries?</w:t>
      </w:r>
    </w:p>
    <w:p>
      <w:pPr>
        <w:pStyle w:val="ListParagraph"/>
        <w:numPr>
          <w:ilvl w:val="0"/>
          <w:numId w:val="3"/>
        </w:numPr>
        <w:spacing w:before="80" w:after="80"/>
      </w:pPr>
      <w:r>
        <w:rPr>
          <w:rFonts w:ascii="Arial" w:cs="Arial" w:eastAsia="Arial" w:hAnsi="Arial"/>
          <w:sz w:val="22"/>
          <w:szCs w:val="22"/>
        </w:rPr>
        <w:t xml:space="preserve">Create eu_ai_act_definition_map.ipynb — 4-5 hours. Same LLM pattern as llm_article_recital_map.ipynb but for Article 3 definitions. 65 definitions × LLM verification. Output: definition_map.json.</w:t>
      </w:r>
    </w:p>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Following Two Weeks</w:t>
      </w:r>
    </w:p>
    <w:p>
      <w:pPr>
        <w:pStyle w:val="ListParagraph"/>
        <w:numPr>
          <w:ilvl w:val="0"/>
          <w:numId w:val="3"/>
        </w:numPr>
        <w:spacing w:before="80" w:after="80"/>
      </w:pPr>
      <w:r>
        <w:rPr>
          <w:rFonts w:ascii="Arial" w:cs="Arial" w:eastAsia="Arial" w:hAnsi="Arial"/>
          <w:sz w:val="22"/>
          <w:szCs w:val="22"/>
        </w:rPr>
        <w:t xml:space="preserve">Create eu_ai_act_external_corpus.ipynb — 1-2 days. Use Cellar URIs to fetch GDPR, Copyright Directive, LED. Apply structure-aware chunking. Add to ChromaDB with doc_id metadata.</w:t>
      </w:r>
    </w:p>
    <w:p>
      <w:pPr>
        <w:pStyle w:val="ListParagraph"/>
        <w:numPr>
          <w:ilvl w:val="0"/>
          <w:numId w:val="3"/>
        </w:numPr>
        <w:spacing w:before="80" w:after="80"/>
      </w:pPr>
      <w:r>
        <w:rPr>
          <w:rFonts w:ascii="Arial" w:cs="Arial" w:eastAsia="Arial" w:hAnsi="Arial"/>
          <w:sz w:val="22"/>
          <w:szCs w:val="22"/>
        </w:rPr>
        <w:t xml:space="preserve">Create eu_ai_act_obligation_graph.ipynb — 1 day. LLM extraction of named obligations from Articles 9-16. Structured penalty data from Article 99 and 101. Output: obligations.json, penalties.json.</w:t>
      </w:r>
    </w:p>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Month 2</w:t>
      </w:r>
    </w:p>
    <w:p>
      <w:pPr>
        <w:pStyle w:val="ListParagraph"/>
        <w:numPr>
          <w:ilvl w:val="0"/>
          <w:numId w:val="3"/>
        </w:numPr>
        <w:spacing w:before="80" w:after="80"/>
      </w:pPr>
      <w:r>
        <w:rPr>
          <w:rFonts w:ascii="Arial" w:cs="Arial" w:eastAsia="Arial" w:hAnsi="Arial"/>
          <w:sz w:val="22"/>
          <w:szCs w:val="22"/>
        </w:rPr>
        <w:t xml:space="preserve">eu_ai_act_neo4j_builder.ipynb — Load all JSON graph data into Neo4j (local Docker instance). Replace Python dict lookups with Cypher queries.</w:t>
      </w:r>
    </w:p>
    <w:p>
      <w:pPr>
        <w:pStyle w:val="ListParagraph"/>
        <w:numPr>
          <w:ilvl w:val="0"/>
          <w:numId w:val="3"/>
        </w:numPr>
        <w:spacing w:before="80" w:after="80"/>
      </w:pPr>
      <w:r>
        <w:rPr>
          <w:rFonts w:ascii="Arial" w:cs="Arial" w:eastAsia="Arial" w:hAnsi="Arial"/>
          <w:sz w:val="22"/>
          <w:szCs w:val="22"/>
        </w:rPr>
        <w:t xml:space="preserve">eu_ai_act_hyde.ipynb — Implement HyDE. For each query, generate a hypothetical EU AI Act paragraph, embed it, use that for retrieval. Measure: does embedding recall improve?</w:t>
      </w:r>
    </w:p>
    <w:p>
      <w:pPr>
        <w:pStyle w:val="ListParagraph"/>
        <w:numPr>
          <w:ilvl w:val="0"/>
          <w:numId w:val="3"/>
        </w:numPr>
        <w:spacing w:before="80" w:after="80"/>
      </w:pPr>
      <w:r>
        <w:rPr>
          <w:rFonts w:ascii="Arial" w:cs="Arial" w:eastAsia="Arial" w:hAnsi="Arial"/>
          <w:sz w:val="22"/>
          <w:szCs w:val="22"/>
        </w:rPr>
        <w:t xml:space="preserve">eu_ai_act_cross_encoder.ipynb — Replace the keyword-score reranker with ms-marco-MiniLM cross-encoder. Measure: does answer quality improve for ambiguous queries?</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E5E7EB" w:sz="2" w:space="4"/>
        </w:pBdr>
        <w:spacing w:before="200" w:after="20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320"/>
        <w:jc w:val="both"/>
      </w:pPr>
      <w:r>
        <w:rPr>
          <w:rFonts w:ascii="Arial" w:cs="Arial" w:eastAsia="Arial" w:hAnsi="Arial"/>
          <w:b/>
          <w:bCs/>
          <w:color w:val="DC2626"/>
          <w:sz w:val="22"/>
          <w:szCs w:val="22"/>
        </w:rPr>
        <w:t xml:space="preserve">The most important thing you can do right now is not adding more features. </w:t>
      </w:r>
      <w:r>
        <w:rPr>
          <w:rFonts w:ascii="Arial" w:cs="Arial" w:eastAsia="Arial" w:hAnsi="Arial"/>
          <w:sz w:val="22"/>
          <w:szCs w:val="22"/>
        </w:rPr>
        <w:t xml:space="preserve">It is creating the evaluation set in Phase 1. Every decision after that — which embedding model, whether HyDE helps, whether GDPR integration improved answers — needs to be measured. Build the ruler before you start measuring.</w:t>
      </w:r>
    </w:p>
    <w:p>
      <w:pPr>
        <w:spacing w:before="0" w:after="80"/>
      </w:pPr>
      <w:r>
        <w:rPr>
          <w:rFonts w:ascii="Arial" w:cs="Arial" w:eastAsia="Arial" w:hAnsi="Arial"/>
          <w:sz w:val="22"/>
          <w:szCs w:val="22"/>
        </w:rP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EU AI Act RAG — Project Roadmap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2026-03-29T16:27:40.994Z</dcterms:created>
  <dcterms:modified xsi:type="dcterms:W3CDTF">2026-03-29T16:27:40.996Z</dcterms:modified>
</cp:coreProperties>
</file>

<file path=docProps/custom.xml><?xml version="1.0" encoding="utf-8"?>
<Properties xmlns="http://schemas.openxmlformats.org/officeDocument/2006/custom-properties" xmlns:vt="http://schemas.openxmlformats.org/officeDocument/2006/docPropsVTypes"/>
</file>