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Document Investigation Agent</w:t>
      </w:r>
    </w:p>
    <w:p>
      <w:pPr>
        <w:jc w:val="left"/>
      </w:pPr>
      <w:r>
        <w:t xml:space="preserve"> · UI enhancement, requirement traceability and validation plan</w:t>
      </w:r>
    </w:p>
    <w:p>
      <w:r>
        <w:t>Basis: the supplied Technical Assessment document. This plan separates the stated requirements from implementation notes and validation steps. A test is not considered passed until it is actually executed and its observed result is recorded.</w:t>
      </w:r>
    </w:p>
    <w:p>
      <w:pPr>
        <w:pStyle w:val="Heading1"/>
      </w:pPr>
      <w:r>
        <w:t xml:space="preserve">1. Project overview </w:t>
      </w:r>
    </w:p>
    <w:p>
      <w:pPr>
        <w:pStyle w:val="ListBullet"/>
      </w:pPr>
      <w:r>
        <w:t>Clearer home page with a three-step workflow: upload documents, ask a focused question, review answer and evidence.</w:t>
      </w:r>
    </w:p>
    <w:p>
      <w:pPr>
        <w:pStyle w:val="ListBullet"/>
      </w:pPr>
      <w:r>
        <w:t>Visible AI-mode badge that distinguishes Mock AI from the local Ollama model.</w:t>
      </w:r>
    </w:p>
    <w:p>
      <w:pPr>
        <w:pStyle w:val="ListBullet"/>
      </w:pPr>
      <w:r>
        <w:t>More explicit reminders about the 5 MB upload limit, keyword retrieval, and the need to review citations.</w:t>
      </w:r>
    </w:p>
    <w:p>
      <w:pPr>
        <w:pStyle w:val="ListBullet"/>
      </w:pPr>
      <w:r>
        <w:t>Local H2 Console enabled for development-time inspection.</w:t>
      </w:r>
    </w:p>
    <w:p>
      <w:pPr>
        <w:pStyle w:val="ListBullet"/>
      </w:pPr>
      <w:r>
        <w:t>A new home-page integration test and updated README/validation documentation.</w:t>
      </w:r>
    </w:p>
    <w:p>
      <w:pPr>
        <w:pStyle w:val="ListBullet"/>
      </w:pPr>
      <w:r>
        <w:t>Sample TXT files for positive, conflict and prompt-injection manual tests.</w:t>
      </w:r>
    </w:p>
    <w:p>
      <w:pPr>
        <w:pStyle w:val="Heading1"/>
      </w:pPr>
      <w:r>
        <w:t>2. Run and validate</w:t>
      </w:r>
    </w:p>
    <w:p>
      <w:pPr>
        <w:pStyle w:val="ListNumber"/>
      </w:pPr>
      <w:r>
        <w:t>Use JDK 21. From the project root run: mvn clean test. Expected: BUILD SUCCESS with zero failures/errors. Review target/surefire-reports/.</w:t>
      </w:r>
    </w:p>
    <w:p>
      <w:pPr>
        <w:pStyle w:val="ListNumber"/>
      </w:pPr>
      <w:r>
        <w:t>Run the app from Eclipse as DocumentAgentApplication. Keep the working directory set to the project root (the directory containing pom.xml).</w:t>
      </w:r>
    </w:p>
    <w:p>
      <w:pPr>
        <w:pStyle w:val="ListNumber"/>
      </w:pPr>
      <w:r>
        <w:t>Open the UI at http://localhost:8080/ and Swagger at http://localhost:8080/swagger-ui.html.</w:t>
      </w:r>
    </w:p>
    <w:p>
      <w:pPr>
        <w:pStyle w:val="ListNumber"/>
      </w:pPr>
      <w:r>
        <w:t>Use APP_AI_MODE=mock for predictable baseline checks. Restart with APP_AI_MODE=ollama only after Ollama is running and llama3.2:3b is pulled.</w:t>
      </w:r>
    </w:p>
    <w:p>
      <w:pPr>
        <w:pStyle w:val="ListNumber"/>
      </w:pPr>
      <w:r>
        <w:t>Execute all rows in Requirement_Validation_Tracker.xlsx and record actual status, observed result and defect ID. Leave unexecuted cases as Not Run.</w:t>
      </w:r>
    </w:p>
    <w:p>
      <w:pPr>
        <w:pStyle w:val="Heading1"/>
      </w:pPr>
      <w:r>
        <w:t>3. H2 database connection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DEBFF"/>
          </w:tcPr>
          <w:p>
            <w:r>
              <w:t>Browser console URL</w:t>
            </w:r>
          </w:p>
        </w:tc>
        <w:tc>
          <w:tcPr>
            <w:tcW w:type="dxa" w:w="5112"/>
            <w:vAlign w:val="top"/>
          </w:tcPr>
          <w:p>
            <w:r>
              <w:t>http://localhost:8080/h2-console</w:t>
            </w:r>
          </w:p>
        </w:tc>
      </w:tr>
      <w:tr>
        <w:tc>
          <w:tcPr>
            <w:tcW w:type="dxa" w:w="5112"/>
            <w:vAlign w:val="top"/>
            <w:shd w:fill="EDEBFF"/>
          </w:tcPr>
          <w:p>
            <w:r>
              <w:t>JDBC driver</w:t>
            </w:r>
          </w:p>
        </w:tc>
        <w:tc>
          <w:tcPr>
            <w:tcW w:type="dxa" w:w="5112"/>
            <w:vAlign w:val="top"/>
          </w:tcPr>
          <w:p>
            <w:r>
              <w:t>org.h2.Driver</w:t>
            </w:r>
          </w:p>
        </w:tc>
      </w:tr>
      <w:tr>
        <w:tc>
          <w:tcPr>
            <w:tcW w:type="dxa" w:w="5112"/>
            <w:vAlign w:val="top"/>
            <w:shd w:fill="EDEBFF"/>
          </w:tcPr>
          <w:p>
            <w:r>
              <w:t>JDBC URL</w:t>
            </w:r>
          </w:p>
        </w:tc>
        <w:tc>
          <w:tcPr>
            <w:tcW w:type="dxa" w:w="5112"/>
            <w:vAlign w:val="top"/>
          </w:tcPr>
          <w:p>
            <w:r>
              <w:t>jdbc:h2:file:./data/document-agent</w:t>
            </w:r>
          </w:p>
        </w:tc>
      </w:tr>
      <w:tr>
        <w:tc>
          <w:tcPr>
            <w:tcW w:type="dxa" w:w="5112"/>
            <w:vAlign w:val="top"/>
            <w:shd w:fill="EDEBFF"/>
          </w:tcPr>
          <w:p>
            <w:r>
              <w:t>Username</w:t>
            </w:r>
          </w:p>
        </w:tc>
        <w:tc>
          <w:tcPr>
            <w:tcW w:type="dxa" w:w="5112"/>
            <w:vAlign w:val="top"/>
          </w:tcPr>
          <w:p>
            <w:r>
              <w:t>sa</w:t>
            </w:r>
          </w:p>
        </w:tc>
      </w:tr>
      <w:tr>
        <w:tc>
          <w:tcPr>
            <w:tcW w:type="dxa" w:w="5112"/>
            <w:vAlign w:val="top"/>
            <w:shd w:fill="EDEBFF"/>
          </w:tcPr>
          <w:p>
            <w:r>
              <w:t>Password</w:t>
            </w:r>
          </w:p>
        </w:tc>
        <w:tc>
          <w:tcPr>
            <w:tcW w:type="dxa" w:w="5112"/>
            <w:vAlign w:val="top"/>
          </w:tcPr>
          <w:p>
            <w:r>
              <w:t>Leave blank</w:t>
            </w:r>
          </w:p>
        </w:tc>
      </w:tr>
      <w:tr>
        <w:tc>
          <w:tcPr>
            <w:tcW w:type="dxa" w:w="5112"/>
            <w:vAlign w:val="top"/>
            <w:shd w:fill="EDEBFF"/>
          </w:tcPr>
          <w:p>
            <w:r>
              <w:t>Working directory</w:t>
            </w:r>
          </w:p>
        </w:tc>
        <w:tc>
          <w:tcPr>
            <w:tcW w:type="dxa" w:w="5112"/>
            <w:vAlign w:val="top"/>
          </w:tcPr>
          <w:p>
            <w:r>
              <w:t>Project root, containing pom.xml</w:t>
            </w:r>
          </w:p>
        </w:tc>
      </w:tr>
    </w:tbl>
    <w:p>
      <w:r>
        <w:t>Important: the JDBC path is relative to the application working directory. The test profile uses a separate in-memory database. H2 Console is for local development only; do not expose it to an untrusted network or use it in production.</w:t>
      </w:r>
    </w:p>
    <w:p>
      <w:pPr>
        <w:pStyle w:val="Heading1"/>
      </w:pPr>
      <w:r>
        <w:t>4. Requirement-to-validation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24324A"/>
          </w:tcPr>
          <w:p>
            <w:r>
              <w:t>Assessment area</w:t>
            </w:r>
          </w:p>
        </w:tc>
        <w:tc>
          <w:tcPr>
            <w:tcW w:type="dxa" w:w="5112"/>
            <w:vAlign w:val="top"/>
            <w:shd w:fill="24324A"/>
          </w:tcPr>
          <w:p>
            <w:r>
              <w:t>Manual validation / acceptance</w:t>
            </w:r>
          </w:p>
        </w:tc>
      </w:tr>
      <w:tr>
        <w:tc>
          <w:tcPr>
            <w:tcW w:type="dxa" w:w="5112"/>
            <w:vAlign w:val="top"/>
          </w:tcPr>
          <w:p>
            <w:r>
              <w:t>Multi-document investigation</w:t>
            </w:r>
          </w:p>
        </w:tc>
        <w:tc>
          <w:tcPr>
            <w:tcW w:type="dxa" w:w="5112"/>
            <w:vAlign w:val="top"/>
          </w:tcPr>
          <w:p>
            <w:r>
              <w:t>Upload at least two documents and ask a question requiring facts from both. Confirm the answer is supported by returned excerpts or the result says evidence is insufficient.</w:t>
            </w:r>
          </w:p>
        </w:tc>
      </w:tr>
      <w:tr>
        <w:tc>
          <w:tcPr>
            <w:tcW w:type="dxa" w:w="5112"/>
            <w:vAlign w:val="top"/>
          </w:tcPr>
          <w:p>
            <w:r>
              <w:t>Evidence and references</w:t>
            </w:r>
          </w:p>
        </w:tc>
        <w:tc>
          <w:tcPr>
            <w:tcW w:type="dxa" w:w="5112"/>
            <w:vAlign w:val="top"/>
          </w:tcPr>
          <w:p>
            <w:r>
              <w:t>Check source filename/document ID, chunk index and excerpt. Compare each cited excerpt with the conclusion.</w:t>
            </w:r>
          </w:p>
        </w:tc>
      </w:tr>
      <w:tr>
        <w:tc>
          <w:tcPr>
            <w:tcW w:type="dxa" w:w="5112"/>
            <w:vAlign w:val="top"/>
          </w:tcPr>
          <w:p>
            <w:r>
              <w:t>Conflicts</w:t>
            </w:r>
          </w:p>
        </w:tc>
        <w:tc>
          <w:tcPr>
            <w:tcW w:type="dxa" w:w="5112"/>
            <w:vAlign w:val="top"/>
          </w:tcPr>
          <w:p>
            <w:r>
              <w:t>Upload 30-day and 45-day policy files; ask for the payment deadline. Confirm the conflict is surfaced and not silently resolved.</w:t>
            </w:r>
          </w:p>
        </w:tc>
      </w:tr>
      <w:tr>
        <w:tc>
          <w:tcPr>
            <w:tcW w:type="dxa" w:w="5112"/>
            <w:vAlign w:val="top"/>
          </w:tcPr>
          <w:p>
            <w:r>
              <w:t>Insufficient/ambiguous evidence</w:t>
            </w:r>
          </w:p>
        </w:tc>
        <w:tc>
          <w:tcPr>
            <w:tcW w:type="dxa" w:w="5112"/>
            <w:vAlign w:val="top"/>
          </w:tcPr>
          <w:p>
            <w:r>
              <w:t>Ask an unrelated question and a vague question. Confirm insufficient-evidence or clarification behavior; no fabricated citations.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Invalid input and processing errors</w:t>
            </w:r>
          </w:p>
        </w:tc>
        <w:tc>
          <w:tcPr>
            <w:tcW w:type="dxa" w:w="5112"/>
            <w:vAlign w:val="top"/>
          </w:tcPr>
          <w:p>
            <w:r>
              <w:t>Test blank question, missing fields/header, malformed JSON, invalid limits, unsupported file, empty file, corrupt PDF and oversized file.</w:t>
            </w:r>
          </w:p>
        </w:tc>
      </w:tr>
      <w:tr>
        <w:tc>
          <w:tcPr>
            <w:tcW w:type="dxa" w:w="5112"/>
            <w:vAlign w:val="top"/>
          </w:tcPr>
          <w:p>
            <w:r>
              <w:t>Unauthorized access</w:t>
            </w:r>
          </w:p>
        </w:tc>
        <w:tc>
          <w:tcPr>
            <w:tcW w:type="dxa" w:w="5112"/>
            <w:vAlign w:val="top"/>
          </w:tcPr>
          <w:p>
            <w:r>
              <w:t>Create a document/investigation as demo-user and try to access it as user-two. No other user’s document or evidence should leak.</w:t>
            </w:r>
          </w:p>
        </w:tc>
      </w:tr>
      <w:tr>
        <w:tc>
          <w:tcPr>
            <w:tcW w:type="dxa" w:w="5112"/>
            <w:vAlign w:val="top"/>
          </w:tcPr>
          <w:p>
            <w:r>
              <w:t>Safety and prompt injection</w:t>
            </w:r>
          </w:p>
        </w:tc>
        <w:tc>
          <w:tcPr>
            <w:tcW w:type="dxa" w:w="5112"/>
            <w:vAlign w:val="top"/>
          </w:tcPr>
          <w:p>
            <w:r>
              <w:t>Upload the sample containing an embedded instruction to reveal secrets. Treat it as untrusted document content and inspect the response.</w:t>
            </w:r>
          </w:p>
        </w:tc>
      </w:tr>
      <w:tr>
        <w:tc>
          <w:tcPr>
            <w:tcW w:type="dxa" w:w="5112"/>
            <w:vAlign w:val="top"/>
          </w:tcPr>
          <w:p>
            <w:r>
              <w:t>Traceability</w:t>
            </w:r>
          </w:p>
        </w:tc>
        <w:tc>
          <w:tcPr>
            <w:tcW w:type="dxa" w:w="5112"/>
            <w:vAlign w:val="top"/>
          </w:tcPr>
          <w:p>
            <w:r>
              <w:t>Inspect persisted investigation/evidence and audit records. Check actor, resource, action and timestamp without exposing full document bodies unnecessarily.</w:t>
            </w:r>
          </w:p>
        </w:tc>
      </w:tr>
      <w:tr>
        <w:tc>
          <w:tcPr>
            <w:tcW w:type="dxa" w:w="5112"/>
            <w:vAlign w:val="top"/>
          </w:tcPr>
          <w:p>
            <w:r>
              <w:t>AI/provider failure</w:t>
            </w:r>
          </w:p>
        </w:tc>
        <w:tc>
          <w:tcPr>
            <w:tcW w:type="dxa" w:w="5112"/>
            <w:vAlign w:val="top"/>
          </w:tcPr>
          <w:p>
            <w:r>
              <w:t>Stop Ollama while the application is in ollama mode. Confirm a safe error/status, no stack trace or secrets, and an audit failure event.</w:t>
            </w:r>
          </w:p>
        </w:tc>
      </w:tr>
      <w:tr>
        <w:tc>
          <w:tcPr>
            <w:tcW w:type="dxa" w:w="5112"/>
            <w:vAlign w:val="top"/>
          </w:tcPr>
          <w:p>
            <w:r>
              <w:t>Persistence</w:t>
            </w:r>
          </w:p>
        </w:tc>
        <w:tc>
          <w:tcPr>
            <w:tcW w:type="dxa" w:w="5112"/>
            <w:vAlign w:val="top"/>
          </w:tcPr>
          <w:p>
            <w:r>
              <w:t>Create records, stop the application normally, restart with the same working directory, and retrieve the records again.</w:t>
            </w:r>
          </w:p>
        </w:tc>
      </w:tr>
    </w:tbl>
    <w:p>
      <w:pPr>
        <w:pStyle w:val="Heading1"/>
      </w:pPr>
      <w:r>
        <w:t>5. Important gaps and limits to disclose</w:t>
      </w:r>
    </w:p>
    <w:p>
      <w:pPr>
        <w:pStyle w:val="ListBullet"/>
      </w:pPr>
      <w:r>
        <w:t>Evidence retrieval is keyword-based, not semantic/vector search. A relevant passage can be missed, especially for paraphrased questions.</w:t>
      </w:r>
    </w:p>
    <w:p>
      <w:pPr>
        <w:pStyle w:val="ListBullet"/>
      </w:pPr>
      <w:r>
        <w:t>Citation-ID validation checks that source IDs belong to retrieved evidence; it does not prove every generated statement is entailed by the citation.</w:t>
      </w:r>
    </w:p>
    <w:p>
      <w:pPr>
        <w:pStyle w:val="ListBullet"/>
      </w:pPr>
      <w:r>
        <w:t>X-User-Id is a demo scoping header, not authentication. Production authentication/authorization is not implemented.</w:t>
      </w:r>
    </w:p>
    <w:p>
      <w:pPr>
        <w:pStyle w:val="ListBullet"/>
      </w:pPr>
      <w:r>
        <w:t>OCR for scanned/image-only PDFs is not included.</w:t>
      </w:r>
    </w:p>
    <w:p>
      <w:pPr>
        <w:pStyle w:val="ListBullet"/>
      </w:pPr>
      <w:r>
        <w:t>recommendedNextAction is derived from investigation status. It provides generic guidance rather than a custom action plan inferred from every source document.</w:t>
      </w:r>
    </w:p>
    <w:p>
      <w:pPr>
        <w:pStyle w:val="ListBullet"/>
      </w:pPr>
      <w:r>
        <w:t>The real Ollama model must be tested manually. Automated Mock-mode tests do not prove live LLM answer quality.</w:t>
      </w:r>
    </w:p>
    <w:p>
      <w:pPr>
        <w:pStyle w:val="Heading1"/>
      </w:pPr>
      <w:r>
        <w:t>6. Exit criteria</w:t>
      </w:r>
    </w:p>
    <w:p>
      <w:pPr>
        <w:pStyle w:val="ListBullet"/>
      </w:pPr>
      <w:r>
        <w:t>Automated suite completes with BUILD SUCCESS and zero test failures/errors.</w:t>
      </w:r>
    </w:p>
    <w:p>
      <w:pPr>
        <w:pStyle w:val="ListBullet"/>
      </w:pPr>
      <w:r>
        <w:t>All manual scenarios have actual outcomes recorded; no case is marked Passed without execution.</w:t>
      </w:r>
    </w:p>
    <w:p>
      <w:pPr>
        <w:pStyle w:val="ListBullet"/>
      </w:pPr>
      <w:r>
        <w:t>Positive scenarios return expected data and evidence; negative scenarios fail safely.</w:t>
      </w:r>
    </w:p>
    <w:p>
      <w:pPr>
        <w:pStyle w:val="ListBullet"/>
      </w:pPr>
      <w:r>
        <w:t>Cross-user isolation, prompt-injection handling, provider failure, and persistence have been explicitly checked.</w:t>
      </w:r>
    </w:p>
    <w:p>
      <w:pPr>
        <w:pStyle w:val="ListBullet"/>
      </w:pPr>
      <w:r>
        <w:t>README, design limitations and AI tooling notes match the actual final implementation.</w:t>
      </w:r>
    </w:p>
    <w:p>
      <w:pPr>
        <w:spacing w:before="200"/>
      </w:pPr>
      <w:r>
        <w:t>Reference workbook: Requirement_Validation_Tracker.xlsx</w:t>
      </w:r>
    </w:p>
    <w:p>
      <w:pPr>
        <w:spacing w:after="0"/>
      </w:pPr>
      <w:r>
        <w:t>Use the workbook’s Requirement Traceability, Manual Test Cases and Execution Summary sheets. Test results must reflect observed behavior, not expected behavior.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537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537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