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AI Document Investigation Agent</w:t>
      </w:r>
    </w:p>
    <w:p>
      <w:pPr>
        <w:jc w:val="center"/>
      </w:pPr>
      <w:r>
        <w:rPr>
          <w:i/>
          <w:sz w:val="28"/>
        </w:rPr>
        <w:t>Assessment Submission Overview</w:t>
      </w:r>
    </w:p>
    <w:p>
      <w:r>
        <w:t>A concise guide to the solution, how to run it, and how its outputs can be reviewed.</w:t>
      </w:r>
    </w:p>
    <w:p>
      <w:pPr>
        <w:pStyle w:val="Heading1"/>
      </w:pPr>
      <w:r>
        <w:t>1. Objective</w:t>
      </w:r>
    </w:p>
    <w:p>
      <w:r>
        <w:t>The application investigates a question across uploaded PDF and TXT documents. It retrieves relevant passages, evaluates whether the evidence appears sufficient, and returns a structured result with a conclusion, evidence references, uncertainty or conflict status where applicable, and a recommended next action.</w:t>
      </w:r>
    </w:p>
    <w:p>
      <w:pPr>
        <w:pStyle w:val="Heading1"/>
      </w:pPr>
      <w:r>
        <w:t>2. What is included</w:t>
      </w:r>
    </w:p>
    <w:p>
      <w:pPr>
        <w:pStyle w:val="ListBullet"/>
      </w:pPr>
      <w:r>
        <w:t>Java 21 and Spring Boot application with REST endpoints.</w:t>
      </w:r>
    </w:p>
    <w:p>
      <w:pPr>
        <w:pStyle w:val="ListBullet"/>
      </w:pPr>
      <w:r>
        <w:t>PDF/TXT ingestion, text extraction, checksum calculation, and chunking.</w:t>
      </w:r>
    </w:p>
    <w:p>
      <w:pPr>
        <w:pStyle w:val="ListBullet"/>
      </w:pPr>
      <w:r>
        <w:t>Keyword-based evidence retrieval with document and chunk traceability.</w:t>
      </w:r>
    </w:p>
    <w:p>
      <w:pPr>
        <w:pStyle w:val="ListBullet"/>
      </w:pPr>
      <w:r>
        <w:t>Persisted investigations, evidence references, and audit events using H2.</w:t>
      </w:r>
    </w:p>
    <w:p>
      <w:pPr>
        <w:pStyle w:val="ListBullet"/>
      </w:pPr>
      <w:r>
        <w:t>Deterministic Mock AI as the default provider and optional local Ollama integration.</w:t>
      </w:r>
    </w:p>
    <w:p>
      <w:pPr>
        <w:pStyle w:val="ListBullet"/>
      </w:pPr>
      <w:r>
        <w:t>Thymeleaf browser UI and Swagger/OpenAPI API documentation.</w:t>
      </w:r>
    </w:p>
    <w:p>
      <w:pPr>
        <w:pStyle w:val="ListBullet"/>
      </w:pPr>
      <w:r>
        <w:t>Automated test source files, requirement traceability, manual validation guidance, and a validation tracker.</w:t>
      </w:r>
    </w:p>
    <w:p>
      <w:pPr>
        <w:pStyle w:val="Heading1"/>
      </w:pPr>
      <w:r>
        <w:t>3. Technology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Choice</w:t>
            </w:r>
          </w:p>
        </w:tc>
      </w:tr>
      <w:tr>
        <w:tc>
          <w:tcPr>
            <w:tcW w:type="dxa" w:w="5040"/>
            <w:vAlign w:val="center"/>
          </w:tcPr>
          <w:p>
            <w:r>
              <w:t>Language / framework</w:t>
            </w:r>
          </w:p>
        </w:tc>
        <w:tc>
          <w:tcPr>
            <w:tcW w:type="dxa" w:w="5040"/>
            <w:vAlign w:val="center"/>
          </w:tcPr>
          <w:p>
            <w:r>
              <w:t>Java 21, Spring Boot 3.5.x</w:t>
            </w:r>
          </w:p>
        </w:tc>
      </w:tr>
      <w:tr>
        <w:tc>
          <w:tcPr>
            <w:tcW w:type="dxa" w:w="5040"/>
            <w:vAlign w:val="center"/>
          </w:tcPr>
          <w:p>
            <w:r>
              <w:t>Build</w:t>
            </w:r>
          </w:p>
        </w:tc>
        <w:tc>
          <w:tcPr>
            <w:tcW w:type="dxa" w:w="5040"/>
            <w:vAlign w:val="center"/>
          </w:tcPr>
          <w:p>
            <w:r>
              <w:t>Maven</w:t>
            </w:r>
          </w:p>
        </w:tc>
      </w:tr>
      <w:tr>
        <w:tc>
          <w:tcPr>
            <w:tcW w:type="dxa" w:w="5040"/>
            <w:vAlign w:val="center"/>
          </w:tcPr>
          <w:p>
            <w:r>
              <w:t>API / validation</w:t>
            </w:r>
          </w:p>
        </w:tc>
        <w:tc>
          <w:tcPr>
            <w:tcW w:type="dxa" w:w="5040"/>
            <w:vAlign w:val="center"/>
          </w:tcPr>
          <w:p>
            <w:r>
              <w:t>Spring Web, Jakarta Bean Validation, OpenAPI/Swagger</w:t>
            </w:r>
          </w:p>
        </w:tc>
      </w:tr>
      <w:tr>
        <w:tc>
          <w:tcPr>
            <w:tcW w:type="dxa" w:w="5040"/>
            <w:vAlign w:val="center"/>
          </w:tcPr>
          <w:p>
            <w:r>
              <w:t>Persistence</w:t>
            </w:r>
          </w:p>
        </w:tc>
        <w:tc>
          <w:tcPr>
            <w:tcW w:type="dxa" w:w="5040"/>
            <w:vAlign w:val="center"/>
          </w:tcPr>
          <w:p>
            <w:r>
              <w:t>Spring Data JPA and H2</w:t>
            </w:r>
          </w:p>
        </w:tc>
      </w:tr>
      <w:tr>
        <w:tc>
          <w:tcPr>
            <w:tcW w:type="dxa" w:w="5040"/>
            <w:vAlign w:val="center"/>
          </w:tcPr>
          <w:p>
            <w:r>
              <w:t>Document processing</w:t>
            </w:r>
          </w:p>
        </w:tc>
        <w:tc>
          <w:tcPr>
            <w:tcW w:type="dxa" w:w="5040"/>
            <w:vAlign w:val="center"/>
          </w:tcPr>
          <w:p>
            <w:r>
              <w:t>Apache PDFBox for PDF text extraction; JDK text handling for TXT</w:t>
            </w:r>
          </w:p>
        </w:tc>
      </w:tr>
      <w:tr>
        <w:tc>
          <w:tcPr>
            <w:tcW w:type="dxa" w:w="5040"/>
            <w:vAlign w:val="center"/>
          </w:tcPr>
          <w:p>
            <w:r>
              <w:t>UI</w:t>
            </w:r>
          </w:p>
        </w:tc>
        <w:tc>
          <w:tcPr>
            <w:tcW w:type="dxa" w:w="5040"/>
            <w:vAlign w:val="center"/>
          </w:tcPr>
          <w:p>
            <w:r>
              <w:t>Thymeleaf served by Spring Boot</w:t>
            </w:r>
          </w:p>
        </w:tc>
      </w:tr>
      <w:tr>
        <w:tc>
          <w:tcPr>
            <w:tcW w:type="dxa" w:w="5040"/>
            <w:vAlign w:val="center"/>
          </w:tcPr>
          <w:p>
            <w:r>
              <w:t>AI</w:t>
            </w:r>
          </w:p>
        </w:tc>
        <w:tc>
          <w:tcPr>
            <w:tcW w:type="dxa" w:w="5040"/>
            <w:vAlign w:val="center"/>
          </w:tcPr>
          <w:p>
            <w:r>
              <w:t>Deterministic Mock AI by default; optional Spring AI + Ollama</w:t>
            </w:r>
          </w:p>
        </w:tc>
      </w:tr>
      <w:tr>
        <w:tc>
          <w:tcPr>
            <w:tcW w:type="dxa" w:w="5040"/>
            <w:vAlign w:val="center"/>
          </w:tcPr>
          <w:p>
            <w:r>
              <w:t>Testing</w:t>
            </w:r>
          </w:p>
        </w:tc>
        <w:tc>
          <w:tcPr>
            <w:tcW w:type="dxa" w:w="5040"/>
            <w:vAlign w:val="center"/>
          </w:tcPr>
          <w:p>
            <w:r>
              <w:t>JUnit 5 and Spring Boot Test</w:t>
            </w:r>
          </w:p>
        </w:tc>
      </w:tr>
    </w:tbl>
    <w:p>
      <w:pPr>
        <w:pStyle w:val="Heading1"/>
      </w:pPr>
      <w:r>
        <w:t>4. How to run</w:t>
      </w:r>
    </w:p>
    <w:p>
      <w:pPr>
        <w:pStyle w:val="ListNumber"/>
      </w:pPr>
      <w:r>
        <w:t>Install JDK 21 and Maven 3.9 or newer.</w:t>
      </w:r>
    </w:p>
    <w:p>
      <w:pPr>
        <w:pStyle w:val="ListNumber"/>
      </w:pPr>
      <w:r>
        <w:t>Extract the project ZIP and open a terminal in the folder containing pom.xml.</w:t>
      </w:r>
    </w:p>
    <w:p>
      <w:pPr>
        <w:pStyle w:val="ListNumber"/>
      </w:pPr>
      <w:r>
        <w:t>Run `mvn clean test` and review the actual test output.</w:t>
      </w:r>
    </w:p>
    <w:p>
      <w:pPr>
        <w:pStyle w:val="ListNumber"/>
      </w:pPr>
      <w:r>
        <w:t>Run `mvn spring-boot:run`.</w:t>
      </w:r>
    </w:p>
    <w:p>
      <w:pPr>
        <w:pStyle w:val="ListNumber"/>
      </w:pPr>
      <w:r>
        <w:t>Open the browser UI at http://localhost:8080/ or Swagger UI at http://localhost:8080/swagger-ui.html.</w:t>
      </w:r>
    </w:p>
    <w:p>
      <w:r>
        <w:t>The default Mock AI mode does not require Ollama, a hosted AI key, a separate database, Node.js, or npm. For local LLM testing, follow docs/SPRING_AI_OLLAMA_SETUP.md.</w:t>
      </w:r>
    </w:p>
    <w:p>
      <w:pPr>
        <w:pStyle w:val="Heading1"/>
      </w:pPr>
      <w:r>
        <w:t>5. How to review a result</w:t>
      </w:r>
    </w:p>
    <w:p>
      <w:pPr>
        <w:pStyle w:val="ListNumber"/>
      </w:pPr>
      <w:r>
        <w:t>Upload relevant documents and ask a focused question.</w:t>
      </w:r>
    </w:p>
    <w:p>
      <w:pPr>
        <w:pStyle w:val="ListNumber"/>
      </w:pPr>
      <w:r>
        <w:t>Read the investigation status and conclusion.</w:t>
      </w:r>
    </w:p>
    <w:p>
      <w:pPr>
        <w:pStyle w:val="ListNumber"/>
      </w:pPr>
      <w:r>
        <w:t>Open each evidence reference and compare the excerpt with the original document.</w:t>
      </w:r>
    </w:p>
    <w:p>
      <w:pPr>
        <w:pStyle w:val="ListNumber"/>
      </w:pPr>
      <w:r>
        <w:t>Review any conflict, missing evidence, clarification request, and recommended next action.</w:t>
      </w:r>
    </w:p>
    <w:p>
      <w:pPr>
        <w:pStyle w:val="ListNumber"/>
      </w:pPr>
      <w:r>
        <w:t>Treat the response as decision support; do not rely on a conclusion without reviewing the source evidence.</w:t>
      </w:r>
    </w:p>
    <w:p>
      <w:pPr>
        <w:pStyle w:val="Heading1"/>
      </w:pPr>
      <w:r>
        <w:t>6. Design decisions</w:t>
      </w:r>
    </w:p>
    <w:p>
      <w:pPr>
        <w:pStyle w:val="ListBullet"/>
      </w:pPr>
      <w:r>
        <w:t>A modular monolith keeps the assessment straightforward to build, run, and inspect.</w:t>
      </w:r>
    </w:p>
    <w:p>
      <w:pPr>
        <w:pStyle w:val="ListBullet"/>
      </w:pPr>
      <w:r>
        <w:t>H2 provides persistence without a separate database installation.</w:t>
      </w:r>
    </w:p>
    <w:p>
      <w:pPr>
        <w:pStyle w:val="ListBullet"/>
      </w:pPr>
      <w:r>
        <w:t>Keyword retrieval provides explainable, traceable passages without a vector database dependency.</w:t>
      </w:r>
    </w:p>
    <w:p>
      <w:pPr>
        <w:pStyle w:val="ListBullet"/>
      </w:pPr>
      <w:r>
        <w:t>Mock AI is the default for repeatable offline runs; Ollama is an optional local LLM provider.</w:t>
      </w:r>
    </w:p>
    <w:p>
      <w:pPr>
        <w:pStyle w:val="ListBullet"/>
      </w:pPr>
      <w:r>
        <w:t>Evidence IDs are validated against retrieved passages before evidence references are persisted.</w:t>
      </w:r>
    </w:p>
    <w:p>
      <w:pPr>
        <w:pStyle w:val="Heading1"/>
      </w:pPr>
      <w:r>
        <w:t>7. Assumptions and limitations</w:t>
      </w:r>
    </w:p>
    <w:p>
      <w:pPr>
        <w:pStyle w:val="ListBullet"/>
      </w:pPr>
      <w:r>
        <w:t>Input support is for text-based PDF and TXT files; scanned/image-only PDF OCR is not included.</w:t>
      </w:r>
    </w:p>
    <w:p>
      <w:pPr>
        <w:pStyle w:val="ListBullet"/>
      </w:pPr>
      <w:r>
        <w:t>Keyword retrieval can miss semantically related passages or paraphrases.</w:t>
      </w:r>
    </w:p>
    <w:p>
      <w:pPr>
        <w:pStyle w:val="ListBullet"/>
      </w:pPr>
      <w:r>
        <w:t>Ranking scores are not confidence probabilities.</w:t>
      </w:r>
    </w:p>
    <w:p>
      <w:pPr>
        <w:pStyle w:val="ListBullet"/>
      </w:pPr>
      <w:r>
        <w:t>Conflict detection and evidence sufficiency are heuristic; citation ID validation does not prove every answer sentence is entailed by its citation.</w:t>
      </w:r>
    </w:p>
    <w:p>
      <w:pPr>
        <w:pStyle w:val="ListBullet"/>
      </w:pPr>
      <w:r>
        <w:t>Prompt-injection controls reduce risk but are not a guarantee.</w:t>
      </w:r>
    </w:p>
    <w:p>
      <w:pPr>
        <w:pStyle w:val="ListBullet"/>
      </w:pPr>
      <w:r>
        <w:t>X-User-Id is a demo scoping header, not real authentication; production authentication and authorization are outside scope.</w:t>
      </w:r>
    </w:p>
    <w:p>
      <w:pPr>
        <w:pStyle w:val="ListBullet"/>
      </w:pPr>
      <w:r>
        <w:t>The recommended next action is generic status-based guidance.</w:t>
      </w:r>
    </w:p>
    <w:p>
      <w:pPr>
        <w:pStyle w:val="Heading1"/>
      </w:pPr>
      <w:r>
        <w:t>8. Validation status</w:t>
      </w:r>
    </w:p>
    <w:p>
      <w:r>
        <w:t>The project archive includes automated test source files and manual validation materials. The recipient should run the test suite and manual cases in their environment and record the observed results. No test should be described as passed unless it has actually executed successfully.</w:t>
      </w:r>
    </w:p>
    <w:p>
      <w:pPr>
        <w:pStyle w:val="Heading1"/>
      </w:pPr>
      <w:r>
        <w:t>9. AI tools disclosure</w:t>
      </w:r>
    </w:p>
    <w:p>
      <w:r>
        <w:t>The README contains an AI tools disclosure section. The submitter should ensure it accurately reflects the tools actually used and follows the assessment's disclosure policy.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